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6F1DB9">
        <w:rPr>
          <w:rFonts w:asciiTheme="minorHAnsi" w:hAnsiTheme="minorHAnsi"/>
          <w:b/>
          <w:sz w:val="24"/>
          <w:szCs w:val="24"/>
        </w:rPr>
        <w:t>0</w:t>
      </w:r>
      <w:r w:rsidR="00F019BD">
        <w:rPr>
          <w:rFonts w:asciiTheme="minorHAnsi" w:hAnsiTheme="minorHAnsi"/>
          <w:b/>
          <w:sz w:val="24"/>
          <w:szCs w:val="24"/>
        </w:rPr>
        <w:t>8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1957AB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</w:t>
      </w:r>
      <w:r w:rsidR="00F019BD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oraz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elek</w:t>
      </w:r>
      <w:r w:rsidR="00F019BD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</w:t>
      </w:r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212E44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F019BD" w:rsidRPr="00773BD2">
        <w:rPr>
          <w:rFonts w:asciiTheme="minorHAnsi" w:hAnsiTheme="minorHAnsi"/>
          <w:sz w:val="24"/>
          <w:szCs w:val="24"/>
        </w:rPr>
        <w:t xml:space="preserve">j.t. </w:t>
      </w:r>
      <w:r w:rsidR="00F019BD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19BD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19BD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F019BD">
        <w:rPr>
          <w:rFonts w:asciiTheme="minorHAnsi" w:hAnsiTheme="minorHAnsi"/>
          <w:bCs/>
          <w:sz w:val="24"/>
          <w:szCs w:val="24"/>
        </w:rPr>
        <w:t>8 r., poz. 1986 ze zm</w:t>
      </w:r>
      <w:r w:rsidR="00F019BD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166826">
        <w:rPr>
          <w:rFonts w:asciiTheme="minorHAnsi" w:hAnsiTheme="minorHAnsi"/>
          <w:sz w:val="24"/>
          <w:szCs w:val="24"/>
        </w:rPr>
        <w:t>zm</w:t>
      </w:r>
      <w:proofErr w:type="gramEnd"/>
      <w:r w:rsidRPr="00166826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26">
        <w:rPr>
          <w:rFonts w:asciiTheme="minorHAnsi" w:hAnsiTheme="minorHAnsi"/>
          <w:sz w:val="24"/>
          <w:szCs w:val="24"/>
        </w:rPr>
        <w:t>ustawie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="00F019BD" w:rsidRPr="00773BD2">
        <w:rPr>
          <w:rFonts w:asciiTheme="minorHAnsi" w:hAnsiTheme="minorHAnsi"/>
          <w:sz w:val="24"/>
          <w:szCs w:val="24"/>
        </w:rPr>
        <w:t xml:space="preserve">j.t. </w:t>
      </w:r>
      <w:r w:rsidR="00F019BD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19BD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19BD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F019BD">
        <w:rPr>
          <w:rFonts w:asciiTheme="minorHAnsi" w:hAnsiTheme="minorHAnsi"/>
          <w:bCs/>
          <w:sz w:val="24"/>
          <w:szCs w:val="24"/>
        </w:rPr>
        <w:t>8 r., poz. 1986 ze zm</w:t>
      </w:r>
      <w:r w:rsidR="00F019BD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89602E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89602E" w:rsidRPr="00552E22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552E22" w:rsidRPr="00DE6CC9" w:rsidRDefault="00552E22" w:rsidP="00552E2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552E22" w:rsidRPr="006A2A9D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lastRenderedPageBreak/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</w:t>
      </w:r>
      <w:r w:rsidR="0040091C">
        <w:rPr>
          <w:rFonts w:asciiTheme="minorHAnsi" w:hAnsiTheme="minorHAnsi" w:cstheme="minorHAnsi"/>
          <w:sz w:val="24"/>
          <w:szCs w:val="24"/>
        </w:rPr>
        <w:t>i</w:t>
      </w:r>
      <w:r w:rsidRPr="006A2A9D">
        <w:rPr>
          <w:rFonts w:asciiTheme="minorHAnsi" w:hAnsiTheme="minorHAnsi" w:cstheme="minorHAnsi"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9F57B4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9F57B4">
        <w:rPr>
          <w:rFonts w:asciiTheme="minorHAnsi" w:hAnsiTheme="minorHAnsi"/>
          <w:b/>
          <w:sz w:val="24"/>
          <w:szCs w:val="24"/>
        </w:rPr>
        <w:t xml:space="preserve"> </w:t>
      </w:r>
      <w:r w:rsidR="00F019B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stymulatorów jednojamowych, dwujamowych</w:t>
      </w:r>
      <w:r w:rsidR="00F019BD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oraz</w:t>
      </w:r>
      <w:r w:rsidR="00F019B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elek</w:t>
      </w:r>
      <w:r w:rsidR="00F019BD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</w:t>
      </w:r>
      <w:r w:rsidR="00F019BD">
        <w:rPr>
          <w:rFonts w:asciiTheme="minorHAnsi" w:hAnsiTheme="minorHAnsi"/>
          <w:b/>
          <w:sz w:val="24"/>
          <w:szCs w:val="24"/>
        </w:rPr>
        <w:t xml:space="preserve"> - 08/2019</w:t>
      </w:r>
      <w:r>
        <w:rPr>
          <w:rFonts w:asciiTheme="minorHAnsi" w:hAnsiTheme="minorHAnsi"/>
          <w:b/>
          <w:sz w:val="24"/>
          <w:szCs w:val="24"/>
        </w:rPr>
        <w:t>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</w:t>
      </w:r>
      <w:r w:rsidR="00F019BD" w:rsidRPr="00773BD2">
        <w:rPr>
          <w:rFonts w:asciiTheme="minorHAnsi" w:hAnsiTheme="minorHAnsi"/>
          <w:sz w:val="24"/>
          <w:szCs w:val="24"/>
        </w:rPr>
        <w:t xml:space="preserve">j.t. </w:t>
      </w:r>
      <w:r w:rsidR="00F019BD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019BD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019BD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F019BD">
        <w:rPr>
          <w:rFonts w:asciiTheme="minorHAnsi" w:hAnsiTheme="minorHAnsi"/>
          <w:bCs/>
          <w:sz w:val="24"/>
          <w:szCs w:val="24"/>
        </w:rPr>
        <w:t>8 r., poz. 1986 ze zm</w:t>
      </w:r>
      <w:r w:rsidR="00F019BD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552E22" w:rsidRPr="006B7EA3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552E22" w:rsidRPr="006B7EA3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552E22" w:rsidRPr="006B7EA3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552E22" w:rsidRPr="00404866" w:rsidRDefault="00552E22" w:rsidP="00552E2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552E22" w:rsidRPr="00404866" w:rsidRDefault="00552E22" w:rsidP="00552E22">
      <w:pPr>
        <w:pStyle w:val="Akapitzlist"/>
        <w:numPr>
          <w:ilvl w:val="0"/>
          <w:numId w:val="50"/>
        </w:num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25A11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 xml:space="preserve">zakup i dostawa </w:t>
      </w:r>
      <w:r w:rsidR="00F019B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stymulatorów jednojamowych, dwujamowych</w:t>
      </w:r>
      <w:r w:rsidR="00F019BD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oraz</w:t>
      </w:r>
      <w:r w:rsidR="00F019B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elek</w:t>
      </w:r>
      <w:r w:rsidR="00F019BD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</w:t>
      </w:r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.</w:t>
      </w:r>
    </w:p>
    <w:p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Kod CPV: 33158210-7.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 xml:space="preserve">Przedmiot zamówienia </w:t>
      </w:r>
      <w:r w:rsidR="00312496">
        <w:rPr>
          <w:rFonts w:asciiTheme="minorHAnsi" w:hAnsiTheme="minorHAnsi"/>
          <w:szCs w:val="24"/>
        </w:rPr>
        <w:t>winien</w:t>
      </w:r>
      <w:r w:rsidRPr="00E25A11">
        <w:rPr>
          <w:rFonts w:asciiTheme="minorHAnsi" w:hAnsiTheme="minorHAnsi"/>
          <w:szCs w:val="24"/>
        </w:rPr>
        <w:t xml:space="preserve"> spełniać szczegółowe wymagania określone w</w:t>
      </w:r>
      <w:r w:rsidR="0089602E">
        <w:rPr>
          <w:rFonts w:asciiTheme="minorHAnsi" w:hAnsiTheme="minorHAnsi"/>
          <w:szCs w:val="24"/>
        </w:rPr>
        <w:t> </w:t>
      </w:r>
      <w:r w:rsidR="00312496">
        <w:rPr>
          <w:rFonts w:asciiTheme="minorHAnsi" w:hAnsiTheme="minorHAnsi"/>
          <w:szCs w:val="24"/>
        </w:rPr>
        <w:t>formularzu cenowym, stanowiącym</w:t>
      </w:r>
      <w:r w:rsidRPr="00E25A11">
        <w:rPr>
          <w:rFonts w:asciiTheme="minorHAnsi" w:hAnsiTheme="minorHAnsi"/>
          <w:szCs w:val="24"/>
        </w:rPr>
        <w:t xml:space="preserve"> załącznik nr 2 do </w:t>
      </w:r>
      <w:proofErr w:type="spellStart"/>
      <w:r w:rsidR="001E7381" w:rsidRPr="00E25A11">
        <w:rPr>
          <w:rFonts w:asciiTheme="minorHAnsi" w:hAnsiTheme="minorHAnsi"/>
          <w:szCs w:val="24"/>
        </w:rPr>
        <w:t>siwz</w:t>
      </w:r>
      <w:proofErr w:type="spellEnd"/>
      <w:r w:rsidR="001E7381" w:rsidRPr="00E25A11">
        <w:rPr>
          <w:rFonts w:asciiTheme="minorHAnsi" w:hAnsiTheme="minorHAnsi"/>
          <w:szCs w:val="24"/>
        </w:rPr>
        <w:t>, jak i wymagania zawarte w 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="006717FE" w:rsidRPr="006717FE">
        <w:rPr>
          <w:rFonts w:ascii="Calibri" w:hAnsi="Calibri" w:cs="Calibri"/>
          <w:szCs w:val="24"/>
        </w:rPr>
        <w:t xml:space="preserve">Dz. U. </w:t>
      </w:r>
      <w:proofErr w:type="gramStart"/>
      <w:r w:rsidR="006717FE" w:rsidRPr="006717FE">
        <w:rPr>
          <w:rFonts w:ascii="Calibri" w:hAnsi="Calibri" w:cs="Calibri"/>
          <w:szCs w:val="24"/>
        </w:rPr>
        <w:t>z</w:t>
      </w:r>
      <w:proofErr w:type="gramEnd"/>
      <w:r w:rsidR="006717FE" w:rsidRPr="006717FE">
        <w:rPr>
          <w:rFonts w:ascii="Calibri" w:hAnsi="Calibri" w:cs="Calibri"/>
          <w:szCs w:val="24"/>
        </w:rPr>
        <w:t xml:space="preserve"> 2017 r. poz. 211 z </w:t>
      </w:r>
      <w:proofErr w:type="spellStart"/>
      <w:r w:rsidR="006717FE" w:rsidRPr="006717FE">
        <w:rPr>
          <w:rFonts w:ascii="Calibri" w:hAnsi="Calibri" w:cs="Calibri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Cs w:val="24"/>
        </w:rPr>
        <w:t xml:space="preserve">. </w:t>
      </w:r>
      <w:proofErr w:type="gramStart"/>
      <w:r w:rsidR="006717FE" w:rsidRPr="006717FE">
        <w:rPr>
          <w:rFonts w:ascii="Calibri" w:hAnsi="Calibri" w:cs="Calibri"/>
          <w:szCs w:val="24"/>
        </w:rPr>
        <w:t>zm</w:t>
      </w:r>
      <w:proofErr w:type="gramEnd"/>
      <w:r w:rsidR="006717FE" w:rsidRPr="006717FE">
        <w:rPr>
          <w:rFonts w:ascii="Calibri" w:hAnsi="Calibri" w:cs="Calibri"/>
          <w:szCs w:val="24"/>
        </w:rPr>
        <w:t>.</w:t>
      </w:r>
      <w:r w:rsidRPr="006717FE">
        <w:rPr>
          <w:rFonts w:asciiTheme="minorHAnsi" w:hAnsiTheme="minorHAnsi"/>
          <w:szCs w:val="24"/>
        </w:rPr>
        <w:t>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Termin ważności dostarczanych wyrobów nie może być krótszy niż 12 miesięcy</w:t>
      </w:r>
      <w:r w:rsidRPr="0089602E">
        <w:rPr>
          <w:rFonts w:asciiTheme="minorHAnsi" w:hAnsiTheme="minorHAnsi"/>
          <w:szCs w:val="24"/>
        </w:rPr>
        <w:t xml:space="preserve"> licząc od dnia dokonanej dostawy.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 xml:space="preserve"> numerów katalogowych, nazwy oraz producenta zaoferowanego sprzętu.</w:t>
      </w:r>
    </w:p>
    <w:p w:rsidR="0089602E" w:rsidRPr="0089602E" w:rsidRDefault="0089602E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12496" w:rsidRDefault="0031249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Zamawiający nie dopuszcza składania ofert częściowych.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89602E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12496" w:rsidRPr="00614296" w:rsidRDefault="00312496" w:rsidP="00312496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="001957AB">
        <w:rPr>
          <w:rFonts w:asciiTheme="minorHAnsi" w:hAnsiTheme="minorHAnsi"/>
          <w:b/>
        </w:rPr>
        <w:t>dwunastu miesięcy od dnia podpisania umowy</w:t>
      </w:r>
      <w:r w:rsidRPr="00614296">
        <w:rPr>
          <w:rFonts w:asciiTheme="minorHAnsi" w:hAnsiTheme="minorHAnsi"/>
          <w:b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kompetencji</w:t>
      </w:r>
      <w:proofErr w:type="gramEnd"/>
      <w:r w:rsidRPr="00141017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sytuacji</w:t>
      </w:r>
      <w:proofErr w:type="gramEnd"/>
      <w:r w:rsidRPr="00141017">
        <w:rPr>
          <w:rFonts w:asciiTheme="minorHAnsi" w:hAnsiTheme="minorHAnsi"/>
          <w:szCs w:val="24"/>
        </w:rPr>
        <w:t xml:space="preserve">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zdolności</w:t>
      </w:r>
      <w:proofErr w:type="gramEnd"/>
      <w:r w:rsidRPr="00141017">
        <w:rPr>
          <w:rFonts w:asciiTheme="minorHAnsi" w:hAnsiTheme="minorHAnsi"/>
          <w:szCs w:val="24"/>
        </w:rPr>
        <w:t xml:space="preserve"> technicznej i zawodowej: </w:t>
      </w:r>
    </w:p>
    <w:p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lastRenderedPageBreak/>
        <w:t xml:space="preserve">Wykonawca spełni </w:t>
      </w:r>
      <w:proofErr w:type="gramStart"/>
      <w:r w:rsidRPr="00334578">
        <w:rPr>
          <w:rFonts w:asciiTheme="minorHAnsi" w:hAnsiTheme="minorHAnsi" w:cs="Calibri"/>
        </w:rPr>
        <w:t>warunek je</w:t>
      </w:r>
      <w:r w:rsidR="0044123D">
        <w:rPr>
          <w:rFonts w:asciiTheme="minorHAnsi" w:hAnsiTheme="minorHAnsi" w:cs="Calibri"/>
        </w:rPr>
        <w:t>żeli</w:t>
      </w:r>
      <w:proofErr w:type="gramEnd"/>
      <w:r w:rsidR="0044123D">
        <w:rPr>
          <w:rFonts w:asciiTheme="minorHAnsi" w:hAnsiTheme="minorHAnsi" w:cs="Calibri"/>
        </w:rPr>
        <w:t xml:space="preserve">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o wartości brutto nie mniejszej niż</w:t>
      </w:r>
      <w:r w:rsidR="003511B4">
        <w:rPr>
          <w:rFonts w:asciiTheme="minorHAnsi" w:hAnsiTheme="minorHAnsi" w:cs="Calibri"/>
        </w:rPr>
        <w:t xml:space="preserve"> 90.000,00 </w:t>
      </w:r>
      <w:proofErr w:type="gramStart"/>
      <w:r w:rsidR="003511B4">
        <w:rPr>
          <w:rFonts w:asciiTheme="minorHAnsi" w:hAnsiTheme="minorHAnsi" w:cs="Calibri"/>
        </w:rPr>
        <w:t>zł</w:t>
      </w:r>
      <w:proofErr w:type="gramEnd"/>
      <w:r w:rsidR="003511B4">
        <w:rPr>
          <w:rFonts w:asciiTheme="minorHAnsi" w:hAnsiTheme="minorHAnsi" w:cs="Calibri"/>
        </w:rPr>
        <w:t>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24227" w:rsidRPr="00A9579A" w:rsidRDefault="00624227" w:rsidP="0062422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624227" w:rsidRPr="00A9579A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624227" w:rsidRPr="00624227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spełnia</w:t>
      </w:r>
      <w:proofErr w:type="gramEnd"/>
      <w:r w:rsidRPr="00E25A11">
        <w:rPr>
          <w:rFonts w:asciiTheme="minorHAnsi" w:hAnsiTheme="minorHAnsi"/>
          <w:szCs w:val="24"/>
        </w:rPr>
        <w:t xml:space="preserve">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>w celu potwierdzenia braku pod</w:t>
      </w:r>
      <w:r w:rsidR="002C3E7B">
        <w:rPr>
          <w:rFonts w:asciiTheme="minorHAnsi" w:hAnsiTheme="minorHAnsi"/>
          <w:szCs w:val="24"/>
        </w:rPr>
        <w:t>staw do wykluczenia 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podlega wykluczeniu (załącznik Nr 3 do SIWZ)</w:t>
      </w:r>
    </w:p>
    <w:p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spełnia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 xml:space="preserve">tórym mowa w rozdziale VI ust. </w:t>
      </w:r>
      <w:r w:rsidR="00624227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6F1DB9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przekazuje wszelkie pisma drogą faksową lub pocztą elektroniczną zgodnie z punktem 4. Terminy wyznaczone przez 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 xml:space="preserve">załącznik </w:t>
      </w:r>
      <w:proofErr w:type="gramStart"/>
      <w:r w:rsidRPr="00E25A11">
        <w:rPr>
          <w:rFonts w:asciiTheme="minorHAnsi" w:hAnsiTheme="minorHAnsi"/>
          <w:b w:val="0"/>
          <w:bCs/>
        </w:rPr>
        <w:t>nr  1</w:t>
      </w:r>
      <w:r w:rsidR="008B2198" w:rsidRPr="00E25A11">
        <w:rPr>
          <w:rFonts w:asciiTheme="minorHAnsi" w:hAnsiTheme="minorHAnsi"/>
          <w:b w:val="0"/>
          <w:bCs/>
        </w:rPr>
        <w:t xml:space="preserve"> i</w:t>
      </w:r>
      <w:proofErr w:type="gramEnd"/>
      <w:r w:rsidR="008B2198" w:rsidRPr="00E25A11">
        <w:rPr>
          <w:rFonts w:asciiTheme="minorHAnsi" w:hAnsiTheme="minorHAnsi"/>
          <w:b w:val="0"/>
          <w:bCs/>
        </w:rPr>
        <w:t xml:space="preserve">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122592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019BD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 w:rsidR="00F019BD" w:rsidRPr="00F019BD">
        <w:rPr>
          <w:rFonts w:asciiTheme="minorHAnsi" w:eastAsia="Calibri" w:hAnsiTheme="minorHAnsi"/>
          <w:szCs w:val="24"/>
          <w:lang w:eastAsia="pl-PL"/>
        </w:rPr>
        <w:t>stymulatorów jednojamowych, dwujamowych oraz elektrod do stymulatorów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F019BD">
        <w:rPr>
          <w:rFonts w:asciiTheme="minorHAnsi" w:hAnsiTheme="minorHAnsi"/>
          <w:szCs w:val="24"/>
        </w:rPr>
        <w:t xml:space="preserve"> – 08</w:t>
      </w:r>
      <w:r w:rsidR="00624227">
        <w:rPr>
          <w:rFonts w:asciiTheme="minorHAnsi" w:hAnsiTheme="minorHAnsi"/>
          <w:szCs w:val="24"/>
        </w:rPr>
        <w:t>/201</w:t>
      </w:r>
      <w:r w:rsidR="00586FE4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473A41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16</w:t>
      </w:r>
      <w:r w:rsidR="001D0A02">
        <w:rPr>
          <w:rFonts w:asciiTheme="minorHAnsi" w:hAnsiTheme="minorHAnsi"/>
          <w:b w:val="0"/>
          <w:szCs w:val="24"/>
        </w:rPr>
        <w:t>.</w:t>
      </w:r>
      <w:r w:rsidR="009A4B86">
        <w:rPr>
          <w:rFonts w:asciiTheme="minorHAnsi" w:hAnsiTheme="minorHAnsi"/>
          <w:b w:val="0"/>
          <w:szCs w:val="24"/>
        </w:rPr>
        <w:t>0</w:t>
      </w:r>
      <w:r>
        <w:rPr>
          <w:rFonts w:asciiTheme="minorHAnsi" w:hAnsiTheme="minorHAnsi"/>
          <w:b w:val="0"/>
          <w:szCs w:val="24"/>
        </w:rPr>
        <w:t>7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586FE4">
        <w:rPr>
          <w:rFonts w:asciiTheme="minorHAnsi" w:hAnsiTheme="minorHAnsi"/>
          <w:b w:val="0"/>
          <w:szCs w:val="24"/>
        </w:rPr>
        <w:t>9</w:t>
      </w:r>
      <w:r w:rsidR="009A4B86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9A4B86">
        <w:rPr>
          <w:rFonts w:asciiTheme="minorHAnsi" w:hAnsiTheme="minorHAnsi"/>
          <w:b w:val="0"/>
          <w:szCs w:val="24"/>
        </w:rPr>
        <w:t>r</w:t>
      </w:r>
      <w:proofErr w:type="gramEnd"/>
      <w:r w:rsidR="009A4B86">
        <w:rPr>
          <w:rFonts w:asciiTheme="minorHAnsi" w:hAnsiTheme="minorHAnsi"/>
          <w:b w:val="0"/>
          <w:szCs w:val="24"/>
        </w:rPr>
        <w:t>. przed godz. 1</w:t>
      </w:r>
      <w:r w:rsidR="002C3E7B">
        <w:rPr>
          <w:rFonts w:asciiTheme="minorHAnsi" w:hAnsiTheme="minorHAnsi"/>
          <w:b w:val="0"/>
          <w:szCs w:val="24"/>
        </w:rPr>
        <w:t>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122592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6F1DB9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473A41" w:rsidRPr="00473A41">
        <w:rPr>
          <w:rFonts w:asciiTheme="minorHAnsi" w:hAnsiTheme="minorHAnsi"/>
          <w:b/>
          <w:szCs w:val="24"/>
        </w:rPr>
        <w:t>16</w:t>
      </w:r>
      <w:r w:rsidRPr="00473A41">
        <w:rPr>
          <w:rFonts w:asciiTheme="minorHAnsi" w:hAnsiTheme="minorHAnsi"/>
          <w:b/>
          <w:szCs w:val="24"/>
        </w:rPr>
        <w:t>.</w:t>
      </w:r>
      <w:r w:rsidR="009A4B86">
        <w:rPr>
          <w:rFonts w:asciiTheme="minorHAnsi" w:hAnsiTheme="minorHAnsi"/>
          <w:b/>
          <w:szCs w:val="24"/>
        </w:rPr>
        <w:t>0</w:t>
      </w:r>
      <w:r w:rsidR="00473A41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586F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2C3E7B">
        <w:rPr>
          <w:rFonts w:asciiTheme="minorHAnsi" w:hAnsiTheme="minorHAnsi"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473A41" w:rsidRPr="00473A41">
        <w:rPr>
          <w:rFonts w:asciiTheme="minorHAnsi" w:hAnsiTheme="minorHAnsi"/>
          <w:b/>
          <w:szCs w:val="24"/>
        </w:rPr>
        <w:t>16</w:t>
      </w:r>
      <w:r w:rsidRPr="00473A41">
        <w:rPr>
          <w:rFonts w:asciiTheme="minorHAnsi" w:hAnsiTheme="minorHAnsi"/>
          <w:b/>
          <w:szCs w:val="24"/>
        </w:rPr>
        <w:t>.</w:t>
      </w:r>
      <w:r w:rsidR="00122592" w:rsidRPr="00473A41">
        <w:rPr>
          <w:rFonts w:asciiTheme="minorHAnsi" w:hAnsiTheme="minorHAnsi"/>
          <w:b/>
          <w:szCs w:val="24"/>
        </w:rPr>
        <w:t>0</w:t>
      </w:r>
      <w:r w:rsidR="00473A41" w:rsidRPr="00473A41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.201</w:t>
      </w:r>
      <w:r w:rsidR="00586F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2C3E7B">
        <w:rPr>
          <w:rFonts w:asciiTheme="minorHAnsi" w:hAnsiTheme="minorHAnsi"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proofErr w:type="gramEnd"/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</w:t>
            </w:r>
            <w:proofErr w:type="gramStart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proofErr w:type="gramEnd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</w:t>
            </w:r>
            <w:proofErr w:type="gramStart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kryterium jakość</w:t>
            </w:r>
            <w:proofErr w:type="gramEnd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 xml:space="preserve"> (40%)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DC4294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</w:t>
            </w:r>
            <w:proofErr w:type="gramStart"/>
            <w:r w:rsidRPr="00E25A11">
              <w:rPr>
                <w:rFonts w:asciiTheme="minorHAnsi" w:hAnsiTheme="minorHAnsi" w:cs="Arial"/>
                <w:b/>
                <w:szCs w:val="16"/>
              </w:rPr>
              <w:t>p</w:t>
            </w:r>
            <w:proofErr w:type="gramEnd"/>
            <w:r w:rsidRPr="00E25A11">
              <w:rPr>
                <w:rFonts w:asciiTheme="minorHAnsi" w:hAnsiTheme="minorHAnsi" w:cs="Arial"/>
                <w:b/>
                <w:szCs w:val="16"/>
              </w:rPr>
              <w:t>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 xml:space="preserve">Ilość dodatkowych prowadników (dla elektrod przedsionkowych i </w:t>
            </w:r>
            <w:proofErr w:type="gramStart"/>
            <w:r w:rsidRPr="00E25A11">
              <w:rPr>
                <w:rFonts w:asciiTheme="minorHAnsi" w:hAnsiTheme="minorHAnsi"/>
                <w:sz w:val="24"/>
              </w:rPr>
              <w:t>komorowych),  (nie</w:t>
            </w:r>
            <w:proofErr w:type="gramEnd"/>
            <w:r w:rsidRPr="00E25A11">
              <w:rPr>
                <w:rFonts w:asciiTheme="minorHAnsi" w:hAnsiTheme="minorHAnsi"/>
                <w:sz w:val="24"/>
              </w:rPr>
              <w:t xml:space="preserve"> liczymy prowadnika umieszczonego „fabrycznie” w elektrodzie)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 do 2 dodatkowych prowadników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 xml:space="preserve">3 i </w:t>
            </w: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więcej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DC4294" w:rsidRPr="00E25A11" w:rsidRDefault="00473A41" w:rsidP="003511B4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473A41">
              <w:rPr>
                <w:rFonts w:asciiTheme="minorHAnsi" w:hAnsiTheme="minorHAnsi"/>
                <w:sz w:val="24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TAK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DC4294" w:rsidRPr="00E25A11" w:rsidRDefault="00473A41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473A41">
              <w:rPr>
                <w:rFonts w:asciiTheme="minorHAnsi" w:hAnsiTheme="minorHAnsi"/>
                <w:sz w:val="24"/>
              </w:rPr>
              <w:t xml:space="preserve">Możliwość programowania czułości w kanale przedsionkowym (dla stymulatorów 2 jamowych) min. 0,2 </w:t>
            </w:r>
            <w:proofErr w:type="spellStart"/>
            <w:r w:rsidRPr="00473A4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TAK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DC4294" w:rsidRPr="00E25A11" w:rsidRDefault="00473A41" w:rsidP="003511B4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473A41">
              <w:rPr>
                <w:rFonts w:asciiTheme="minorHAnsi" w:hAnsiTheme="minorHAnsi"/>
                <w:sz w:val="24"/>
              </w:rPr>
              <w:t xml:space="preserve">Możliwość programowania czułości w kanale komorowym (dla stymulatorów 1 i 2 jamowych) od 0,5 </w:t>
            </w:r>
            <w:proofErr w:type="spellStart"/>
            <w:r w:rsidRPr="00473A4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TAK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</w:tbl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 xml:space="preserve">daną ofertę za </w:t>
      </w:r>
      <w:proofErr w:type="gramStart"/>
      <w:r w:rsidRPr="00E25A11">
        <w:rPr>
          <w:rFonts w:asciiTheme="minorHAnsi" w:hAnsiTheme="minorHAnsi"/>
          <w:sz w:val="24"/>
        </w:rPr>
        <w:t>kryterium jakość</w:t>
      </w:r>
      <w:proofErr w:type="gramEnd"/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25A11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25A11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5F730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CD4738" w:rsidRPr="00F97749" w:rsidRDefault="00CD4738" w:rsidP="00CD4738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473A41">
        <w:rPr>
          <w:rFonts w:asciiTheme="minorHAnsi" w:hAnsiTheme="minorHAnsi"/>
          <w:sz w:val="24"/>
        </w:rPr>
        <w:t>goszcz, dn. 08</w:t>
      </w:r>
      <w:r w:rsidRPr="00F97749">
        <w:rPr>
          <w:rFonts w:asciiTheme="minorHAnsi" w:hAnsiTheme="minorHAnsi"/>
          <w:sz w:val="24"/>
        </w:rPr>
        <w:t xml:space="preserve"> </w:t>
      </w:r>
      <w:r w:rsidR="00473A41">
        <w:rPr>
          <w:rFonts w:asciiTheme="minorHAnsi" w:hAnsiTheme="minorHAnsi"/>
          <w:sz w:val="24"/>
        </w:rPr>
        <w:t>lipca</w:t>
      </w:r>
      <w:r w:rsidRPr="00F97749">
        <w:rPr>
          <w:rFonts w:asciiTheme="minorHAnsi" w:hAnsiTheme="minorHAnsi"/>
          <w:sz w:val="24"/>
        </w:rPr>
        <w:t xml:space="preserve"> 201</w:t>
      </w:r>
      <w:r w:rsidR="005F7307">
        <w:rPr>
          <w:rFonts w:asciiTheme="minorHAnsi" w:hAnsiTheme="minorHAnsi"/>
          <w:sz w:val="24"/>
        </w:rPr>
        <w:t>9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5F7307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D473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97749">
        <w:rPr>
          <w:rFonts w:asciiTheme="minorHAnsi" w:hAnsiTheme="minorHAnsi"/>
          <w:sz w:val="22"/>
          <w:szCs w:val="22"/>
        </w:rPr>
        <w:t>dr</w:t>
      </w:r>
      <w:proofErr w:type="gramEnd"/>
      <w:r w:rsidRPr="00F97749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 w:rsidR="00473A41">
        <w:rPr>
          <w:rFonts w:asciiTheme="minorHAnsi" w:hAnsiTheme="minorHAnsi"/>
          <w:szCs w:val="24"/>
        </w:rPr>
        <w:t xml:space="preserve">. </w:t>
      </w:r>
      <w:proofErr w:type="gramStart"/>
      <w:r w:rsidR="00473A41">
        <w:rPr>
          <w:rFonts w:asciiTheme="minorHAnsi" w:hAnsiTheme="minorHAnsi"/>
          <w:szCs w:val="24"/>
        </w:rPr>
        <w:t>postępowania</w:t>
      </w:r>
      <w:proofErr w:type="gramEnd"/>
      <w:r w:rsidR="00473A41">
        <w:rPr>
          <w:rFonts w:asciiTheme="minorHAnsi" w:hAnsiTheme="minorHAnsi"/>
          <w:szCs w:val="24"/>
        </w:rPr>
        <w:t xml:space="preserve"> 08</w:t>
      </w:r>
      <w:r w:rsidR="00CD4738">
        <w:rPr>
          <w:rFonts w:asciiTheme="minorHAnsi" w:hAnsiTheme="minorHAnsi"/>
          <w:szCs w:val="24"/>
        </w:rPr>
        <w:t>/201</w:t>
      </w:r>
      <w:r w:rsidR="005F7307">
        <w:rPr>
          <w:rFonts w:asciiTheme="minorHAnsi" w:hAnsiTheme="minorHAnsi"/>
          <w:szCs w:val="24"/>
        </w:rPr>
        <w:t>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D47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 xml:space="preserve">wiązując do ogłoszonego w dniu </w:t>
      </w:r>
      <w:r w:rsidR="00473A41">
        <w:rPr>
          <w:rFonts w:asciiTheme="minorHAnsi" w:hAnsiTheme="minorHAnsi"/>
          <w:sz w:val="24"/>
        </w:rPr>
        <w:t>08</w:t>
      </w:r>
      <w:r w:rsidRPr="00B15EEA">
        <w:rPr>
          <w:rFonts w:asciiTheme="minorHAnsi" w:hAnsiTheme="minorHAnsi"/>
          <w:sz w:val="24"/>
        </w:rPr>
        <w:t xml:space="preserve"> </w:t>
      </w:r>
      <w:r w:rsidR="00473A41">
        <w:rPr>
          <w:rFonts w:asciiTheme="minorHAnsi" w:hAnsiTheme="minorHAnsi"/>
          <w:sz w:val="24"/>
        </w:rPr>
        <w:t>lipca</w:t>
      </w:r>
      <w:r w:rsidRPr="00B15EEA">
        <w:rPr>
          <w:rFonts w:asciiTheme="minorHAnsi" w:hAnsiTheme="minorHAnsi"/>
          <w:sz w:val="24"/>
        </w:rPr>
        <w:t xml:space="preserve"> 201</w:t>
      </w:r>
      <w:r w:rsidR="002C3E7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 xml:space="preserve">nr </w:t>
      </w:r>
      <w:r w:rsidR="00212E44" w:rsidRPr="00212E44">
        <w:rPr>
          <w:rFonts w:asciiTheme="minorHAnsi" w:hAnsiTheme="minorHAnsi" w:cstheme="minorHAnsi"/>
          <w:sz w:val="24"/>
        </w:rPr>
        <w:t>570849</w:t>
      </w:r>
      <w:r w:rsidR="00425BFA" w:rsidRPr="00212E44">
        <w:rPr>
          <w:rFonts w:asciiTheme="minorHAnsi" w:hAnsiTheme="minorHAnsi" w:cstheme="minorHAnsi"/>
          <w:sz w:val="24"/>
        </w:rPr>
        <w:t>-N-2019</w:t>
      </w:r>
      <w:r w:rsidRPr="00212E44">
        <w:rPr>
          <w:rFonts w:asciiTheme="minorHAnsi" w:hAnsiTheme="minorHAnsi" w:cstheme="minorHAnsi"/>
          <w:sz w:val="24"/>
        </w:rPr>
        <w:t xml:space="preserve"> przetargu nieograniczonego, ogłoszonego także na tablicy ogłoszeń w siedzibie</w:t>
      </w:r>
      <w:r w:rsidRPr="00B15EEA">
        <w:rPr>
          <w:rFonts w:asciiTheme="minorHAnsi" w:hAnsiTheme="minorHAnsi"/>
          <w:sz w:val="24"/>
        </w:rPr>
        <w:t xml:space="preserve">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</w:t>
      </w:r>
      <w:proofErr w:type="gramStart"/>
      <w:r w:rsidRPr="00B15EEA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bydgoszcz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pl</w:t>
      </w:r>
      <w:proofErr w:type="gramEnd"/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473A41">
        <w:rPr>
          <w:rFonts w:asciiTheme="minorHAnsi" w:eastAsia="Calibri" w:hAnsiTheme="minorHAnsi"/>
          <w:b/>
          <w:sz w:val="24"/>
        </w:rPr>
        <w:t>Zakup i dostawę</w:t>
      </w:r>
      <w:r w:rsidR="00C35B97">
        <w:rPr>
          <w:rFonts w:asciiTheme="minorHAnsi" w:eastAsia="Calibri" w:hAnsiTheme="minorHAnsi"/>
          <w:b/>
          <w:sz w:val="24"/>
        </w:rPr>
        <w:t xml:space="preserve"> stymulat</w:t>
      </w:r>
      <w:r w:rsidR="00473A41">
        <w:rPr>
          <w:rFonts w:asciiTheme="minorHAnsi" w:eastAsia="Calibri" w:hAnsiTheme="minorHAnsi"/>
          <w:b/>
          <w:sz w:val="24"/>
        </w:rPr>
        <w:t>orów jednojamowych, dwujamowych oraz</w:t>
      </w:r>
      <w:r w:rsidR="00C35B97">
        <w:rPr>
          <w:rFonts w:asciiTheme="minorHAnsi" w:eastAsia="Calibri" w:hAnsiTheme="minorHAnsi"/>
          <w:b/>
          <w:sz w:val="24"/>
        </w:rPr>
        <w:t xml:space="preserve"> elektrod do stymulatorów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 xml:space="preserve">– </w:t>
      </w:r>
      <w:proofErr w:type="gramStart"/>
      <w:r w:rsidR="009A4B86">
        <w:rPr>
          <w:rFonts w:asciiTheme="minorHAnsi" w:hAnsiTheme="minorHAnsi"/>
          <w:sz w:val="24"/>
        </w:rPr>
        <w:t>nr</w:t>
      </w:r>
      <w:proofErr w:type="gramEnd"/>
      <w:r w:rsidR="009A4B86">
        <w:rPr>
          <w:rFonts w:asciiTheme="minorHAnsi" w:hAnsiTheme="minorHAnsi"/>
          <w:sz w:val="24"/>
        </w:rPr>
        <w:t xml:space="preserve"> postępo</w:t>
      </w:r>
      <w:r w:rsidR="003511B4">
        <w:rPr>
          <w:rFonts w:asciiTheme="minorHAnsi" w:hAnsiTheme="minorHAnsi"/>
          <w:sz w:val="24"/>
        </w:rPr>
        <w:t>wania 0</w:t>
      </w:r>
      <w:r w:rsidR="00473A41">
        <w:rPr>
          <w:rFonts w:asciiTheme="minorHAnsi" w:hAnsiTheme="minorHAnsi"/>
          <w:sz w:val="24"/>
        </w:rPr>
        <w:t>8</w:t>
      </w:r>
      <w:r w:rsidR="00CD4738">
        <w:rPr>
          <w:rFonts w:asciiTheme="minorHAnsi" w:hAnsiTheme="minorHAnsi"/>
          <w:sz w:val="24"/>
        </w:rPr>
        <w:t>/201</w:t>
      </w:r>
      <w:r w:rsidR="002C3E7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>,</w:t>
      </w:r>
      <w:bookmarkStart w:id="0" w:name="_GoBack"/>
      <w:bookmarkEnd w:id="0"/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</w:t>
      </w:r>
      <w:proofErr w:type="gramStart"/>
      <w:r w:rsidRPr="00B06E8C">
        <w:rPr>
          <w:rFonts w:asciiTheme="minorHAnsi" w:hAnsiTheme="minorHAnsi"/>
          <w:sz w:val="24"/>
          <w:szCs w:val="24"/>
        </w:rPr>
        <w:t>zapoznaliśmy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</w:t>
      </w:r>
      <w:proofErr w:type="gramStart"/>
      <w:r w:rsidRPr="00B06E8C">
        <w:rPr>
          <w:rFonts w:asciiTheme="minorHAnsi" w:hAnsiTheme="minorHAnsi"/>
          <w:sz w:val="24"/>
          <w:szCs w:val="24"/>
        </w:rPr>
        <w:t>uważamy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się za związanych niniejszą ofertą przez okres 30 dni od upływu terminu składania ofert.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</w:t>
      </w:r>
      <w:proofErr w:type="gramStart"/>
      <w:r w:rsidRPr="00B06E8C">
        <w:rPr>
          <w:rFonts w:asciiTheme="minorHAnsi" w:hAnsiTheme="minorHAnsi"/>
          <w:sz w:val="24"/>
          <w:szCs w:val="24"/>
        </w:rPr>
        <w:t>akceptujemy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treść głównych postanowień umowy i nie wnosimy do niej uwag i zastrzeżeń, a w przypadku wyboru naszej oferty zobowiązujemy się do jej zawarcia w terminach przewidzianych w specyfikacji istotnych warunków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proofErr w:type="gramStart"/>
      <w:r w:rsidR="00B06E8C" w:rsidRPr="00B06E8C">
        <w:rPr>
          <w:rFonts w:asciiTheme="minorHAnsi" w:hAnsiTheme="minorHAnsi"/>
          <w:sz w:val="24"/>
          <w:szCs w:val="24"/>
        </w:rPr>
        <w:t>oferowane</w:t>
      </w:r>
      <w:proofErr w:type="gramEnd"/>
      <w:r w:rsidR="00B06E8C" w:rsidRPr="00B06E8C">
        <w:rPr>
          <w:rFonts w:asciiTheme="minorHAnsi" w:hAnsiTheme="minorHAnsi"/>
          <w:sz w:val="24"/>
          <w:szCs w:val="24"/>
        </w:rPr>
        <w:t xml:space="preserve"> wyroby w chwili dostawy będą posiadały trwałość materiałowo-użytkową nie krótszą niż 80% czasu ważności określanego przez wytwórcę</w:t>
      </w:r>
    </w:p>
    <w:p w:rsidR="00B06E8C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proofErr w:type="gramStart"/>
      <w:r w:rsidRPr="006717FE">
        <w:rPr>
          <w:rFonts w:asciiTheme="minorHAnsi" w:hAnsiTheme="minorHAnsi"/>
          <w:sz w:val="24"/>
          <w:szCs w:val="24"/>
        </w:rPr>
        <w:t>oferowane</w:t>
      </w:r>
      <w:proofErr w:type="gramEnd"/>
      <w:r w:rsidRPr="006717FE">
        <w:rPr>
          <w:rFonts w:asciiTheme="minorHAnsi" w:hAnsiTheme="minorHAnsi"/>
          <w:sz w:val="24"/>
          <w:szCs w:val="24"/>
        </w:rPr>
        <w:t xml:space="preserve"> przez nas wyroby stanowiące przedmiot zamówienia posiadają wszelkie niezbędne atesty i świadectwa rejestracji zgodnie z postanowieniami ustawy z dnia 20 maja 2010 r. o wyrobach medycznych (</w:t>
      </w:r>
      <w:r w:rsidR="006717FE" w:rsidRPr="006717FE">
        <w:rPr>
          <w:rFonts w:ascii="Calibri" w:hAnsi="Calibri" w:cs="Calibri"/>
          <w:sz w:val="24"/>
          <w:szCs w:val="24"/>
        </w:rPr>
        <w:t xml:space="preserve">Dz. U. </w:t>
      </w:r>
      <w:proofErr w:type="gramStart"/>
      <w:r w:rsidR="006717FE" w:rsidRPr="006717FE">
        <w:rPr>
          <w:rFonts w:ascii="Calibri" w:hAnsi="Calibri" w:cs="Calibri"/>
          <w:sz w:val="24"/>
          <w:szCs w:val="24"/>
        </w:rPr>
        <w:t>z</w:t>
      </w:r>
      <w:proofErr w:type="gramEnd"/>
      <w:r w:rsidR="006717FE" w:rsidRPr="006717FE">
        <w:rPr>
          <w:rFonts w:ascii="Calibri" w:hAnsi="Calibri" w:cs="Calibri"/>
          <w:sz w:val="24"/>
          <w:szCs w:val="24"/>
        </w:rPr>
        <w:t xml:space="preserve"> 2017 r. poz. 211 z </w:t>
      </w:r>
      <w:proofErr w:type="spellStart"/>
      <w:r w:rsidR="006717FE" w:rsidRPr="006717FE">
        <w:rPr>
          <w:rFonts w:ascii="Calibri" w:hAnsi="Calibri" w:cs="Calibri"/>
          <w:sz w:val="24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6717FE" w:rsidRPr="006717FE">
        <w:rPr>
          <w:rFonts w:ascii="Calibri" w:hAnsi="Calibri" w:cs="Calibri"/>
          <w:sz w:val="24"/>
          <w:szCs w:val="24"/>
        </w:rPr>
        <w:t>zm</w:t>
      </w:r>
      <w:proofErr w:type="gramEnd"/>
      <w:r w:rsidR="006717FE" w:rsidRPr="006717FE">
        <w:rPr>
          <w:rFonts w:ascii="Calibri" w:hAnsi="Calibri" w:cs="Calibri"/>
          <w:sz w:val="24"/>
          <w:szCs w:val="24"/>
        </w:rPr>
        <w:t>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:rsidR="002C3E7B" w:rsidRDefault="002C3E7B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2.7. </w:t>
      </w:r>
      <w:proofErr w:type="gramStart"/>
      <w:r w:rsidRPr="00C37270">
        <w:rPr>
          <w:rFonts w:ascii="Calibri" w:hAnsi="Calibri" w:cs="Calibri"/>
          <w:color w:val="000000"/>
          <w:sz w:val="24"/>
          <w:szCs w:val="24"/>
        </w:rPr>
        <w:t>wypełniliśmy</w:t>
      </w:r>
      <w:proofErr w:type="gramEnd"/>
      <w:r w:rsidRPr="00C37270">
        <w:rPr>
          <w:rFonts w:ascii="Calibri" w:hAnsi="Calibri" w:cs="Calibri"/>
          <w:color w:val="000000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</w:t>
      </w:r>
      <w:r>
        <w:rPr>
          <w:rFonts w:ascii="Calibri" w:hAnsi="Calibri" w:cs="Calibri"/>
          <w:color w:val="000000"/>
          <w:sz w:val="24"/>
          <w:szCs w:val="24"/>
        </w:rPr>
        <w:t>elenie zamówienia publicznego w </w:t>
      </w:r>
      <w:r w:rsidRPr="00C37270">
        <w:rPr>
          <w:rFonts w:ascii="Calibri" w:hAnsi="Calibri" w:cs="Calibri"/>
          <w:color w:val="000000"/>
          <w:sz w:val="24"/>
          <w:szCs w:val="24"/>
        </w:rPr>
        <w:t>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:rsidR="003511B4" w:rsidRPr="005F6FD8" w:rsidRDefault="002C3E7B" w:rsidP="003511B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2.8</w:t>
      </w:r>
      <w:r w:rsidR="003511B4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3511B4" w:rsidRPr="00BE2DA6" w:rsidTr="001957AB">
        <w:tc>
          <w:tcPr>
            <w:tcW w:w="2182" w:type="dxa"/>
          </w:tcPr>
          <w:p w:rsidR="003511B4" w:rsidRPr="00E40F01" w:rsidRDefault="003511B4" w:rsidP="003511B4">
            <w:pPr>
              <w:pStyle w:val="Akapitzlist"/>
              <w:numPr>
                <w:ilvl w:val="0"/>
                <w:numId w:val="4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3511B4" w:rsidRPr="002F5934" w:rsidRDefault="003511B4" w:rsidP="001957AB">
            <w:pPr>
              <w:spacing w:line="360" w:lineRule="auto"/>
            </w:pPr>
          </w:p>
        </w:tc>
      </w:tr>
      <w:tr w:rsidR="003511B4" w:rsidRPr="00BE2DA6" w:rsidTr="001957AB">
        <w:tc>
          <w:tcPr>
            <w:tcW w:w="2182" w:type="dxa"/>
            <w:vMerge w:val="restart"/>
          </w:tcPr>
          <w:p w:rsidR="003511B4" w:rsidRPr="00E40F01" w:rsidRDefault="003511B4" w:rsidP="003511B4">
            <w:pPr>
              <w:pStyle w:val="Akapitzlist"/>
              <w:numPr>
                <w:ilvl w:val="0"/>
                <w:numId w:val="4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3511B4" w:rsidRPr="002F5934" w:rsidRDefault="003511B4" w:rsidP="001957AB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3511B4" w:rsidRPr="00BE2DA6" w:rsidTr="001957AB">
        <w:tc>
          <w:tcPr>
            <w:tcW w:w="2182" w:type="dxa"/>
            <w:vMerge/>
          </w:tcPr>
          <w:p w:rsidR="003511B4" w:rsidRPr="002F5934" w:rsidRDefault="003511B4" w:rsidP="001957AB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3511B4" w:rsidRPr="00BE2DA6" w:rsidTr="001957AB">
        <w:tc>
          <w:tcPr>
            <w:tcW w:w="2182" w:type="dxa"/>
            <w:vMerge/>
          </w:tcPr>
          <w:p w:rsidR="003511B4" w:rsidRPr="002F5934" w:rsidRDefault="003511B4" w:rsidP="001957AB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3511B4" w:rsidRPr="00BE2DA6" w:rsidTr="001957AB">
        <w:tc>
          <w:tcPr>
            <w:tcW w:w="2182" w:type="dxa"/>
            <w:vMerge/>
          </w:tcPr>
          <w:p w:rsidR="003511B4" w:rsidRPr="002F5934" w:rsidRDefault="003511B4" w:rsidP="001957AB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3511B4" w:rsidRPr="005F6FD8" w:rsidRDefault="003511B4" w:rsidP="003511B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3511B4" w:rsidRPr="006717FE" w:rsidRDefault="003511B4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6717FE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1361C3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</w:t>
      </w:r>
      <w:r w:rsidR="00473A41">
        <w:rPr>
          <w:rFonts w:asciiTheme="minorHAnsi" w:hAnsiTheme="minorHAnsi" w:cs="Arial"/>
          <w:sz w:val="22"/>
          <w:szCs w:val="22"/>
        </w:rPr>
        <w:t>8</w:t>
      </w:r>
      <w:r w:rsidR="002C3E7B">
        <w:rPr>
          <w:rFonts w:asciiTheme="minorHAnsi" w:hAnsiTheme="minorHAnsi" w:cs="Arial"/>
          <w:sz w:val="22"/>
          <w:szCs w:val="22"/>
        </w:rPr>
        <w:t>/2019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3511B4" w:rsidP="00E45C19">
      <w:pPr>
        <w:pStyle w:val="Nagwek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</w:t>
      </w:r>
      <w:r w:rsidR="00E45C19" w:rsidRPr="00957B6E">
        <w:rPr>
          <w:rFonts w:asciiTheme="minorHAnsi" w:hAnsiTheme="minorHAnsi"/>
          <w:szCs w:val="24"/>
        </w:rPr>
        <w:t xml:space="preserve"> CENOW</w:t>
      </w:r>
      <w:r>
        <w:rPr>
          <w:rFonts w:asciiTheme="minorHAnsi" w:hAnsiTheme="minorHAnsi"/>
          <w:szCs w:val="24"/>
        </w:rPr>
        <w:t>Y</w:t>
      </w:r>
      <w:r w:rsidR="00E45C19" w:rsidRPr="00957B6E">
        <w:rPr>
          <w:rFonts w:asciiTheme="minorHAnsi" w:hAnsiTheme="minorHAnsi"/>
          <w:szCs w:val="24"/>
        </w:rPr>
        <w:t xml:space="preserve">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:rsidTr="00CA0D7F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:rsidTr="00CA0D7F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473A41" w:rsidRPr="00957B6E" w:rsidTr="00D97904">
        <w:trPr>
          <w:cantSplit/>
        </w:trPr>
        <w:tc>
          <w:tcPr>
            <w:tcW w:w="567" w:type="dxa"/>
            <w:vAlign w:val="center"/>
          </w:tcPr>
          <w:p w:rsidR="00473A41" w:rsidRPr="00957B6E" w:rsidRDefault="00473A41" w:rsidP="00473A4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center"/>
          </w:tcPr>
          <w:p w:rsidR="00473A41" w:rsidRDefault="00473A41" w:rsidP="00473A41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Stymulator jednojamowy</w:t>
            </w:r>
            <w:r>
              <w:rPr>
                <w:rFonts w:ascii="Calibri" w:hAnsi="Calibri" w:cs="Calibri"/>
                <w:color w:val="000000"/>
              </w:rPr>
              <w:br/>
              <w:t>Parametry graniczne odcinające:</w:t>
            </w:r>
            <w:r>
              <w:rPr>
                <w:rFonts w:ascii="Calibri" w:hAnsi="Calibri" w:cs="Calibri"/>
                <w:color w:val="000000"/>
              </w:rPr>
              <w:br/>
              <w:t>- waga max 30 g</w:t>
            </w:r>
            <w:r>
              <w:rPr>
                <w:rFonts w:ascii="Calibri" w:hAnsi="Calibri" w:cs="Calibri"/>
                <w:color w:val="000000"/>
              </w:rPr>
              <w:br/>
              <w:t>- program nocny lub spoczynkowy</w:t>
            </w:r>
            <w:r>
              <w:rPr>
                <w:rFonts w:ascii="Calibri" w:hAnsi="Calibri" w:cs="Calibri"/>
                <w:color w:val="000000"/>
              </w:rPr>
              <w:br/>
              <w:t xml:space="preserve">- Histereza </w:t>
            </w:r>
            <w:r>
              <w:rPr>
                <w:rFonts w:ascii="Calibri" w:hAnsi="Calibri" w:cs="Calibri"/>
                <w:color w:val="000000"/>
              </w:rPr>
              <w:br/>
              <w:t xml:space="preserve">- automatyczny pomiar progu </w:t>
            </w:r>
            <w:proofErr w:type="gramStart"/>
            <w:r>
              <w:rPr>
                <w:rFonts w:ascii="Calibri" w:hAnsi="Calibri" w:cs="Calibri"/>
                <w:color w:val="000000"/>
              </w:rPr>
              <w:t>stymulacji</w:t>
            </w:r>
            <w:r>
              <w:rPr>
                <w:rFonts w:ascii="Calibri" w:hAnsi="Calibri" w:cs="Calibri"/>
                <w:color w:val="000000"/>
              </w:rPr>
              <w:br/>
              <w:t xml:space="preserve">  komorowej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przy stymulacji VVI</w:t>
            </w:r>
            <w:r>
              <w:rPr>
                <w:rFonts w:ascii="Calibri" w:hAnsi="Calibri" w:cs="Calibri"/>
                <w:color w:val="000000"/>
              </w:rPr>
              <w:br/>
              <w:t xml:space="preserve">  ( program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autocapture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 xml:space="preserve">- funkcja </w:t>
            </w:r>
            <w:proofErr w:type="spellStart"/>
            <w:r>
              <w:rPr>
                <w:rFonts w:ascii="Calibri" w:hAnsi="Calibri" w:cs="Calibri"/>
                <w:color w:val="000000"/>
              </w:rPr>
              <w:t>rate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response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- popularność stymulacji (A/V)</w:t>
            </w:r>
            <w:r>
              <w:rPr>
                <w:rFonts w:ascii="Calibri" w:hAnsi="Calibri" w:cs="Calibri"/>
                <w:color w:val="000000"/>
              </w:rPr>
              <w:br/>
              <w:t xml:space="preserve">  unipolarny, bipolarny</w:t>
            </w:r>
            <w:r>
              <w:rPr>
                <w:rFonts w:ascii="Calibri" w:hAnsi="Calibri" w:cs="Calibri"/>
                <w:color w:val="000000"/>
              </w:rPr>
              <w:br/>
              <w:t>- polarność czułości (A/V)</w:t>
            </w:r>
            <w:r>
              <w:rPr>
                <w:rFonts w:ascii="Calibri" w:hAnsi="Calibri" w:cs="Calibri"/>
                <w:color w:val="000000"/>
              </w:rPr>
              <w:br/>
              <w:t xml:space="preserve">  unipolarny, bipolarny</w:t>
            </w:r>
            <w:r>
              <w:rPr>
                <w:rFonts w:ascii="Calibri" w:hAnsi="Calibri" w:cs="Calibri"/>
                <w:color w:val="000000"/>
              </w:rPr>
              <w:br/>
              <w:t>- wejścia : IS – 1</w:t>
            </w:r>
            <w:r>
              <w:rPr>
                <w:rFonts w:ascii="Calibri" w:hAnsi="Calibri" w:cs="Calibri"/>
                <w:color w:val="000000"/>
              </w:rPr>
              <w:br/>
              <w:t xml:space="preserve">- Stymulator „pro MRI 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body </w:t>
            </w:r>
            <w:proofErr w:type="spellStart"/>
            <w:r>
              <w:rPr>
                <w:rFonts w:ascii="Calibri" w:hAnsi="Calibri" w:cs="Calibri"/>
                <w:color w:val="000000"/>
              </w:rPr>
              <w:t>scan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67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473A41" w:rsidRPr="00957B6E" w:rsidRDefault="00473A41" w:rsidP="00473A4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</w:tr>
      <w:tr w:rsidR="00473A41" w:rsidRPr="00957B6E" w:rsidTr="00D97904">
        <w:trPr>
          <w:cantSplit/>
        </w:trPr>
        <w:tc>
          <w:tcPr>
            <w:tcW w:w="567" w:type="dxa"/>
            <w:vAlign w:val="center"/>
          </w:tcPr>
          <w:p w:rsidR="00473A41" w:rsidRPr="00957B6E" w:rsidRDefault="00473A41" w:rsidP="00473A4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center"/>
          </w:tcPr>
          <w:p w:rsidR="00473A41" w:rsidRDefault="00473A41" w:rsidP="00473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Stymulator dwujamowy</w:t>
            </w:r>
            <w:r>
              <w:rPr>
                <w:rFonts w:ascii="Calibri" w:hAnsi="Calibri" w:cs="Calibri"/>
                <w:color w:val="000000"/>
              </w:rPr>
              <w:br/>
              <w:t>Parametry graniczne odcinające:</w:t>
            </w:r>
            <w:r>
              <w:rPr>
                <w:rFonts w:ascii="Calibri" w:hAnsi="Calibri" w:cs="Calibri"/>
                <w:color w:val="000000"/>
              </w:rPr>
              <w:br/>
              <w:t>- waga max 30 g</w:t>
            </w:r>
            <w:r>
              <w:rPr>
                <w:rFonts w:ascii="Calibri" w:hAnsi="Calibri" w:cs="Calibri"/>
                <w:color w:val="000000"/>
              </w:rPr>
              <w:br/>
              <w:t>- program nocny lub spoczynkowy</w:t>
            </w:r>
            <w:r>
              <w:rPr>
                <w:rFonts w:ascii="Calibri" w:hAnsi="Calibri" w:cs="Calibri"/>
                <w:color w:val="000000"/>
              </w:rPr>
              <w:br/>
              <w:t>- Histereza (trybie VVI)</w:t>
            </w:r>
            <w:r>
              <w:rPr>
                <w:rFonts w:ascii="Calibri" w:hAnsi="Calibri" w:cs="Calibri"/>
                <w:color w:val="000000"/>
              </w:rPr>
              <w:br/>
              <w:t xml:space="preserve">- automatyczny pomiar progu </w:t>
            </w:r>
            <w:proofErr w:type="gramStart"/>
            <w:r>
              <w:rPr>
                <w:rFonts w:ascii="Calibri" w:hAnsi="Calibri" w:cs="Calibri"/>
                <w:color w:val="000000"/>
              </w:rPr>
              <w:t>stymulacji</w:t>
            </w:r>
            <w:r>
              <w:rPr>
                <w:rFonts w:ascii="Calibri" w:hAnsi="Calibri" w:cs="Calibri"/>
                <w:color w:val="000000"/>
              </w:rPr>
              <w:br/>
              <w:t xml:space="preserve">  komorowej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(ambulatoryjnie)</w:t>
            </w:r>
            <w:r>
              <w:rPr>
                <w:rFonts w:ascii="Calibri" w:hAnsi="Calibri" w:cs="Calibri"/>
                <w:color w:val="000000"/>
              </w:rPr>
              <w:br/>
              <w:t xml:space="preserve">  ( program </w:t>
            </w:r>
            <w:proofErr w:type="spellStart"/>
            <w:r>
              <w:rPr>
                <w:rFonts w:ascii="Calibri" w:hAnsi="Calibri" w:cs="Calibri"/>
                <w:color w:val="000000"/>
              </w:rPr>
              <w:t>autocapture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br/>
              <w:t>- program „</w:t>
            </w:r>
            <w:proofErr w:type="spellStart"/>
            <w:r>
              <w:rPr>
                <w:rFonts w:ascii="Calibri" w:hAnsi="Calibri" w:cs="Calibri"/>
                <w:color w:val="000000"/>
              </w:rPr>
              <w:t>overdrive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pacing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” dla </w:t>
            </w:r>
            <w:proofErr w:type="spellStart"/>
            <w:r>
              <w:rPr>
                <w:rFonts w:ascii="Calibri" w:hAnsi="Calibri" w:cs="Calibri"/>
                <w:color w:val="000000"/>
              </w:rPr>
              <w:t>zacho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br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wania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rytmu zatokowego</w:t>
            </w:r>
            <w:r>
              <w:rPr>
                <w:rFonts w:ascii="Calibri" w:hAnsi="Calibri" w:cs="Calibri"/>
                <w:color w:val="000000"/>
              </w:rPr>
              <w:br/>
              <w:t xml:space="preserve">- funkcja </w:t>
            </w:r>
            <w:proofErr w:type="spellStart"/>
            <w:r>
              <w:rPr>
                <w:rFonts w:ascii="Calibri" w:hAnsi="Calibri" w:cs="Calibri"/>
                <w:color w:val="000000"/>
              </w:rPr>
              <w:t>rate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response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  <w:t>- funkcja „</w:t>
            </w:r>
            <w:proofErr w:type="spellStart"/>
            <w:r>
              <w:rPr>
                <w:rFonts w:ascii="Calibri" w:hAnsi="Calibri" w:cs="Calibri"/>
                <w:color w:val="000000"/>
              </w:rPr>
              <w:t>mode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switching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  <w:r>
              <w:rPr>
                <w:rFonts w:ascii="Calibri" w:hAnsi="Calibri" w:cs="Calibri"/>
                <w:color w:val="000000"/>
              </w:rPr>
              <w:br/>
              <w:t xml:space="preserve">  (zmiana trybu stymulacji przy </w:t>
            </w:r>
            <w:r>
              <w:rPr>
                <w:rFonts w:ascii="Calibri" w:hAnsi="Calibri" w:cs="Calibri"/>
                <w:color w:val="000000"/>
              </w:rPr>
              <w:br/>
              <w:t xml:space="preserve">   arytmiach przedsionkowych)</w:t>
            </w:r>
            <w:r>
              <w:rPr>
                <w:rFonts w:ascii="Calibri" w:hAnsi="Calibri" w:cs="Calibri"/>
                <w:color w:val="000000"/>
              </w:rPr>
              <w:br/>
              <w:t>- polarność stymulacji/czułości (A/V)</w:t>
            </w:r>
            <w:r>
              <w:rPr>
                <w:rFonts w:ascii="Calibri" w:hAnsi="Calibri" w:cs="Calibri"/>
                <w:color w:val="000000"/>
              </w:rPr>
              <w:br/>
              <w:t xml:space="preserve">  unipolarny/bipolarny</w:t>
            </w:r>
            <w:r>
              <w:rPr>
                <w:rFonts w:ascii="Calibri" w:hAnsi="Calibri" w:cs="Calibri"/>
                <w:color w:val="000000"/>
              </w:rPr>
              <w:br/>
              <w:t>- wejścia : IS – 1</w:t>
            </w:r>
            <w:r>
              <w:rPr>
                <w:rFonts w:ascii="Calibri" w:hAnsi="Calibri" w:cs="Calibri"/>
                <w:color w:val="000000"/>
              </w:rPr>
              <w:br/>
              <w:t xml:space="preserve">- Stymulator „pro MRI 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body </w:t>
            </w:r>
            <w:proofErr w:type="spellStart"/>
            <w:r>
              <w:rPr>
                <w:rFonts w:ascii="Calibri" w:hAnsi="Calibri" w:cs="Calibri"/>
                <w:color w:val="000000"/>
              </w:rPr>
              <w:t>scan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67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</w:tr>
      <w:tr w:rsidR="00473A41" w:rsidRPr="00957B6E" w:rsidTr="00CA0D7F">
        <w:trPr>
          <w:cantSplit/>
        </w:trPr>
        <w:tc>
          <w:tcPr>
            <w:tcW w:w="567" w:type="dxa"/>
            <w:vAlign w:val="center"/>
          </w:tcPr>
          <w:p w:rsidR="00473A41" w:rsidRPr="00957B6E" w:rsidRDefault="00473A41" w:rsidP="00473A41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3</w:t>
            </w:r>
          </w:p>
        </w:tc>
        <w:tc>
          <w:tcPr>
            <w:tcW w:w="3869" w:type="dxa"/>
            <w:vAlign w:val="center"/>
          </w:tcPr>
          <w:p w:rsidR="00473A41" w:rsidRDefault="00473A41" w:rsidP="00473A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Elektroda do stymulatorów </w:t>
            </w:r>
            <w:r>
              <w:rPr>
                <w:rFonts w:ascii="Calibri" w:hAnsi="Calibri" w:cs="Calibri"/>
                <w:color w:val="000000"/>
              </w:rPr>
              <w:br/>
              <w:t>Parametry graniczne odcinające:</w:t>
            </w:r>
            <w:r>
              <w:rPr>
                <w:rFonts w:ascii="Calibri" w:hAnsi="Calibri" w:cs="Calibri"/>
                <w:color w:val="000000"/>
              </w:rPr>
              <w:br/>
              <w:t>- elektrody do stałej stymulacji serca</w:t>
            </w:r>
            <w:r>
              <w:rPr>
                <w:rFonts w:ascii="Calibri" w:hAnsi="Calibri" w:cs="Calibri"/>
                <w:color w:val="000000"/>
              </w:rPr>
              <w:br/>
              <w:t>- polarność do wyboru: UNI/BIP</w:t>
            </w:r>
            <w:r>
              <w:rPr>
                <w:rFonts w:ascii="Calibri" w:hAnsi="Calibri" w:cs="Calibri"/>
                <w:color w:val="000000"/>
              </w:rPr>
              <w:br/>
              <w:t>- fiksacja do wyboru: bierna/czynna</w:t>
            </w:r>
            <w:r>
              <w:rPr>
                <w:rFonts w:ascii="Calibri" w:hAnsi="Calibri" w:cs="Calibri"/>
                <w:color w:val="000000"/>
              </w:rPr>
              <w:br/>
              <w:t>- elektrody A i V : sterydowe</w:t>
            </w:r>
            <w:r>
              <w:rPr>
                <w:rFonts w:ascii="Calibri" w:hAnsi="Calibri" w:cs="Calibri"/>
                <w:color w:val="000000"/>
              </w:rPr>
              <w:br/>
              <w:t xml:space="preserve">- długość elektrod do </w:t>
            </w:r>
            <w:proofErr w:type="gramStart"/>
            <w:r>
              <w:rPr>
                <w:rFonts w:ascii="Calibri" w:hAnsi="Calibri" w:cs="Calibri"/>
                <w:color w:val="000000"/>
              </w:rPr>
              <w:t>wyboru</w:t>
            </w:r>
            <w:r>
              <w:rPr>
                <w:rFonts w:ascii="Calibri" w:hAnsi="Calibri" w:cs="Calibri"/>
                <w:color w:val="000000"/>
              </w:rPr>
              <w:br/>
              <w:t xml:space="preserve">  (przedsionkowe</w:t>
            </w:r>
            <w:proofErr w:type="gramEnd"/>
            <w:r>
              <w:rPr>
                <w:rFonts w:ascii="Calibri" w:hAnsi="Calibri" w:cs="Calibri"/>
                <w:color w:val="000000"/>
              </w:rPr>
              <w:t>, komorowe)</w:t>
            </w:r>
            <w:r>
              <w:rPr>
                <w:rFonts w:ascii="Calibri" w:hAnsi="Calibri" w:cs="Calibri"/>
                <w:color w:val="000000"/>
              </w:rPr>
              <w:br/>
              <w:t>- wejścia : IS – 1</w:t>
            </w:r>
            <w:r>
              <w:rPr>
                <w:rFonts w:ascii="Calibri" w:hAnsi="Calibri" w:cs="Calibri"/>
                <w:color w:val="000000"/>
              </w:rPr>
              <w:br/>
              <w:t xml:space="preserve">- „pro MRI 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body </w:t>
            </w:r>
            <w:proofErr w:type="spellStart"/>
            <w:r>
              <w:rPr>
                <w:rFonts w:ascii="Calibri" w:hAnsi="Calibri" w:cs="Calibri"/>
                <w:color w:val="000000"/>
              </w:rPr>
              <w:t>scan</w:t>
            </w:r>
            <w:proofErr w:type="spellEnd"/>
            <w:r>
              <w:rPr>
                <w:rFonts w:ascii="Calibri" w:hAnsi="Calibri" w:cs="Calibri"/>
                <w:color w:val="000000"/>
              </w:rPr>
              <w:t>”</w:t>
            </w:r>
          </w:p>
        </w:tc>
        <w:tc>
          <w:tcPr>
            <w:tcW w:w="1167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45C19" w:rsidRDefault="00E45C19" w:rsidP="00E45C19"/>
    <w:p w:rsidR="00E25A11" w:rsidRDefault="00E25A11" w:rsidP="00E45C19"/>
    <w:p w:rsidR="00E25A11" w:rsidRDefault="00E25A11" w:rsidP="00E45C19"/>
    <w:p w:rsidR="00E25A11" w:rsidRDefault="00E25A11" w:rsidP="00E45C19"/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473A41" w:rsidRDefault="00473A41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473A41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1" w:rsidRPr="00473A41" w:rsidRDefault="00473A41" w:rsidP="00473A41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/>
                <w:sz w:val="24"/>
                <w:szCs w:val="24"/>
              </w:rPr>
              <w:t xml:space="preserve">Ilość dodatkowych prowadników (dla elektrod przedsionkowych i </w:t>
            </w:r>
            <w:proofErr w:type="gramStart"/>
            <w:r w:rsidRPr="00473A41">
              <w:rPr>
                <w:rFonts w:asciiTheme="minorHAnsi" w:hAnsiTheme="minorHAnsi"/>
                <w:sz w:val="24"/>
                <w:szCs w:val="24"/>
              </w:rPr>
              <w:t>komorowych),  (nie</w:t>
            </w:r>
            <w:proofErr w:type="gramEnd"/>
            <w:r w:rsidRPr="00473A41">
              <w:rPr>
                <w:rFonts w:asciiTheme="minorHAnsi" w:hAnsiTheme="minorHAnsi"/>
                <w:sz w:val="24"/>
                <w:szCs w:val="24"/>
              </w:rPr>
              <w:t xml:space="preserve">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 w:cs="Arial"/>
                <w:sz w:val="24"/>
                <w:szCs w:val="24"/>
              </w:rPr>
              <w:t xml:space="preserve">3 i </w:t>
            </w:r>
            <w:proofErr w:type="gramStart"/>
            <w:r w:rsidRPr="00473A41">
              <w:rPr>
                <w:rFonts w:asciiTheme="minorHAnsi" w:hAnsiTheme="minorHAnsi" w:cs="Arial"/>
                <w:sz w:val="24"/>
                <w:szCs w:val="24"/>
              </w:rPr>
              <w:t>więcej -  10 pkt</w:t>
            </w:r>
            <w:proofErr w:type="gramEnd"/>
            <w:r w:rsidRPr="00473A4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1" w:rsidRPr="00957B6E" w:rsidRDefault="00473A41" w:rsidP="00473A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73A41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1" w:rsidRPr="00473A41" w:rsidRDefault="00473A41" w:rsidP="00473A41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/>
                <w:sz w:val="24"/>
                <w:szCs w:val="24"/>
              </w:rPr>
              <w:t>Możliwość ambulatoryjnej oceny skuteczności stymulacji komorowej - ocena progu stymulacji (dla stymulatorów 1 i 2 jamowych)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473A41">
              <w:rPr>
                <w:rFonts w:asciiTheme="minorHAnsi" w:hAnsiTheme="minorHAnsi" w:cs="Arial"/>
                <w:sz w:val="24"/>
                <w:szCs w:val="24"/>
              </w:rPr>
              <w:t>TAK -  10 pkt</w:t>
            </w:r>
            <w:proofErr w:type="gramEnd"/>
            <w:r w:rsidRPr="00473A4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1" w:rsidRPr="00957B6E" w:rsidRDefault="00473A41" w:rsidP="00473A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73A41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1" w:rsidRPr="00473A41" w:rsidRDefault="00473A41" w:rsidP="00473A41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(dla stymulatorów 2 jamowych) min. 0,2 </w:t>
            </w:r>
            <w:proofErr w:type="spellStart"/>
            <w:r w:rsidRPr="00473A41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473A41" w:rsidRPr="00473A41" w:rsidRDefault="00473A41" w:rsidP="00473A4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73A41">
              <w:rPr>
                <w:rFonts w:asciiTheme="minorHAnsi" w:hAnsiTheme="minorHAnsi" w:cs="Arial"/>
                <w:sz w:val="24"/>
                <w:szCs w:val="24"/>
              </w:rPr>
              <w:t>TAK -  10 pkt</w:t>
            </w:r>
            <w:proofErr w:type="gramEnd"/>
            <w:r w:rsidRPr="00473A4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1" w:rsidRPr="00957B6E" w:rsidRDefault="00473A41" w:rsidP="00473A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73A41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A41" w:rsidRPr="00957B6E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1" w:rsidRPr="00473A41" w:rsidRDefault="00473A41" w:rsidP="00473A41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(dla stymulatorów 1 i 2 jamowych) od 0,5 </w:t>
            </w:r>
            <w:proofErr w:type="spellStart"/>
            <w:r w:rsidRPr="00473A41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73A41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473A41" w:rsidRPr="00473A41" w:rsidRDefault="00473A41" w:rsidP="00473A41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473A41">
              <w:rPr>
                <w:rFonts w:asciiTheme="minorHAnsi" w:hAnsiTheme="minorHAnsi" w:cs="Arial"/>
                <w:sz w:val="24"/>
                <w:szCs w:val="24"/>
              </w:rPr>
              <w:t>TAK -  10 pkt</w:t>
            </w:r>
            <w:proofErr w:type="gramEnd"/>
            <w:r w:rsidRPr="00473A41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41" w:rsidRPr="00957B6E" w:rsidRDefault="00473A41" w:rsidP="00473A41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Pr="00957B6E" w:rsidRDefault="00957B6E" w:rsidP="00E45C19">
      <w:pPr>
        <w:rPr>
          <w:rFonts w:asciiTheme="minorHAnsi" w:hAnsiTheme="minorHAnsi"/>
        </w:rPr>
      </w:pPr>
    </w:p>
    <w:p w:rsidR="00E45C19" w:rsidRDefault="00E45C19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3511B4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473A41">
        <w:rPr>
          <w:rFonts w:asciiTheme="minorHAnsi" w:hAnsiTheme="minorHAnsi"/>
          <w:szCs w:val="24"/>
        </w:rPr>
        <w:t>8</w:t>
      </w:r>
      <w:r w:rsidR="002C3E7B">
        <w:rPr>
          <w:rFonts w:asciiTheme="minorHAnsi" w:hAnsiTheme="minorHAnsi"/>
          <w:szCs w:val="24"/>
        </w:rPr>
        <w:t>/2019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2605A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</w:t>
      </w:r>
      <w:r w:rsidR="00473A41">
        <w:rPr>
          <w:rFonts w:asciiTheme="minorHAnsi" w:eastAsia="Calibri" w:hAnsiTheme="minorHAnsi"/>
          <w:b/>
          <w:lang w:eastAsia="pl-PL"/>
        </w:rPr>
        <w:t>orów jednojamowych, dwujamowych oraz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 elektrod do stymulatorów</w:t>
      </w:r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3511B4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473A41">
        <w:rPr>
          <w:rFonts w:asciiTheme="minorHAnsi" w:hAnsiTheme="minorHAnsi"/>
          <w:szCs w:val="24"/>
        </w:rPr>
        <w:t>8</w:t>
      </w:r>
      <w:r w:rsidR="006F1DB9">
        <w:rPr>
          <w:rFonts w:asciiTheme="minorHAnsi" w:hAnsiTheme="minorHAnsi"/>
          <w:szCs w:val="24"/>
        </w:rPr>
        <w:t>/201</w:t>
      </w:r>
      <w:r w:rsidR="002C3E7B">
        <w:rPr>
          <w:rFonts w:asciiTheme="minorHAnsi" w:hAnsiTheme="minorHAnsi"/>
          <w:szCs w:val="24"/>
        </w:rPr>
        <w:t>9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7234B">
        <w:rPr>
          <w:rFonts w:asciiTheme="minorHAnsi" w:hAnsiTheme="minorHAnsi" w:cs="Arial"/>
          <w:b/>
        </w:rPr>
        <w:t>DALEJ JAKO</w:t>
      </w:r>
      <w:proofErr w:type="gramEnd"/>
      <w:r w:rsidRPr="00B7234B">
        <w:rPr>
          <w:rFonts w:asciiTheme="minorHAnsi" w:hAnsiTheme="minorHAnsi" w:cs="Arial"/>
          <w:b/>
        </w:rPr>
        <w:t xml:space="preserve">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>Zakup i dostawa stymulat</w:t>
      </w:r>
      <w:r w:rsidR="00473A41">
        <w:rPr>
          <w:rFonts w:asciiTheme="minorHAnsi" w:eastAsia="Calibri" w:hAnsiTheme="minorHAnsi"/>
          <w:b/>
          <w:lang w:eastAsia="pl-PL"/>
        </w:rPr>
        <w:t>orów jednojamowych, dwujamowych oraz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 elektrod do</w:t>
      </w:r>
      <w:r w:rsidR="00473A41">
        <w:rPr>
          <w:rFonts w:asciiTheme="minorHAnsi" w:eastAsia="Calibri" w:hAnsiTheme="minorHAnsi"/>
          <w:b/>
          <w:lang w:eastAsia="pl-PL"/>
        </w:rPr>
        <w:t xml:space="preserve"> stymulatorów</w:t>
      </w:r>
      <w:r w:rsidRPr="00B06E8C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7234B">
        <w:rPr>
          <w:rFonts w:asciiTheme="minorHAnsi" w:hAnsiTheme="minorHAnsi" w:cs="Arial"/>
        </w:rPr>
        <w:t>w</w:t>
      </w:r>
      <w:proofErr w:type="gramEnd"/>
      <w:r w:rsidRPr="00B7234B">
        <w:rPr>
          <w:rFonts w:asciiTheme="minorHAnsi" w:hAnsiTheme="minorHAnsi" w:cs="Arial"/>
        </w:rPr>
        <w:t xml:space="preserve">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3511B4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473A41">
        <w:rPr>
          <w:rFonts w:asciiTheme="minorHAnsi" w:hAnsiTheme="minorHAnsi"/>
          <w:szCs w:val="24"/>
        </w:rPr>
        <w:t>8</w:t>
      </w:r>
      <w:r w:rsidR="006F1DB9">
        <w:rPr>
          <w:rFonts w:asciiTheme="minorHAnsi" w:hAnsiTheme="minorHAnsi"/>
          <w:szCs w:val="24"/>
        </w:rPr>
        <w:t>/201</w:t>
      </w:r>
      <w:r w:rsidR="002C3E7B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6F1DB9" w:rsidRPr="006938B2" w:rsidRDefault="006F1DB9" w:rsidP="006F1DB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526E53" w:rsidRDefault="006F1DB9" w:rsidP="006F1DB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6F1DB9" w:rsidRPr="00EF2BE2" w:rsidRDefault="006F1DB9" w:rsidP="006F1DB9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6938B2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F1DB9" w:rsidRPr="006938B2" w:rsidRDefault="006F1DB9" w:rsidP="006F1DB9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F1DB9" w:rsidRPr="006938B2" w:rsidRDefault="006F1DB9" w:rsidP="006F1DB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3511B4">
        <w:rPr>
          <w:rFonts w:asciiTheme="minorHAnsi" w:hAnsiTheme="minorHAnsi"/>
          <w:szCs w:val="24"/>
        </w:rPr>
        <w:t>0</w:t>
      </w:r>
      <w:r w:rsidR="00473A41">
        <w:rPr>
          <w:rFonts w:asciiTheme="minorHAnsi" w:hAnsiTheme="minorHAnsi"/>
          <w:szCs w:val="24"/>
        </w:rPr>
        <w:t>8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2C3E7B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B06E8C">
        <w:rPr>
          <w:rFonts w:asciiTheme="minorHAnsi" w:hAnsiTheme="minorHAnsi"/>
          <w:sz w:val="24"/>
          <w:szCs w:val="24"/>
        </w:rPr>
        <w:t>dniu           201</w:t>
      </w:r>
      <w:r w:rsidR="00FF31E9">
        <w:rPr>
          <w:rFonts w:asciiTheme="minorHAnsi" w:hAnsiTheme="minorHAnsi"/>
          <w:sz w:val="24"/>
          <w:szCs w:val="24"/>
        </w:rPr>
        <w:t>9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6F1DB9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B06E8C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wpisanym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zwanym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reprezentowanym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a</w:t>
      </w:r>
      <w:proofErr w:type="gramEnd"/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</w:t>
      </w:r>
      <w:proofErr w:type="gramEnd"/>
      <w:r w:rsidRPr="00B06E8C">
        <w:rPr>
          <w:rFonts w:asciiTheme="minorHAnsi" w:hAnsiTheme="minorHAnsi"/>
          <w:iCs/>
          <w:sz w:val="24"/>
          <w:szCs w:val="24"/>
        </w:rPr>
        <w:t xml:space="preserve">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>zakup i dostawę stymulato</w:t>
      </w:r>
      <w:r w:rsidR="00FF31E9">
        <w:rPr>
          <w:rFonts w:asciiTheme="minorHAnsi" w:hAnsiTheme="minorHAnsi"/>
          <w:b/>
          <w:sz w:val="24"/>
          <w:szCs w:val="24"/>
        </w:rPr>
        <w:t>rów jednojamowych i dwujamowych oraz</w:t>
      </w:r>
      <w:r w:rsidRPr="00B06E8C">
        <w:rPr>
          <w:rFonts w:asciiTheme="minorHAnsi" w:hAnsiTheme="minorHAnsi"/>
          <w:b/>
          <w:sz w:val="24"/>
          <w:szCs w:val="24"/>
        </w:rPr>
        <w:t xml:space="preserve"> elektrod do stymulatorów </w:t>
      </w:r>
      <w:r w:rsidR="003511B4">
        <w:rPr>
          <w:rFonts w:asciiTheme="minorHAnsi" w:hAnsiTheme="minorHAnsi"/>
          <w:sz w:val="24"/>
          <w:szCs w:val="24"/>
        </w:rPr>
        <w:t>(0</w:t>
      </w:r>
      <w:r w:rsidR="00FF31E9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>/201</w:t>
      </w:r>
      <w:r w:rsidR="0011789E">
        <w:rPr>
          <w:rFonts w:asciiTheme="minorHAnsi" w:hAnsiTheme="minorHAnsi"/>
          <w:sz w:val="24"/>
          <w:szCs w:val="24"/>
        </w:rPr>
        <w:t>9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FF31E9" w:rsidRPr="00773BD2">
        <w:rPr>
          <w:rFonts w:asciiTheme="minorHAnsi" w:hAnsiTheme="minorHAnsi"/>
          <w:sz w:val="24"/>
          <w:szCs w:val="24"/>
        </w:rPr>
        <w:t xml:space="preserve">j.t. </w:t>
      </w:r>
      <w:r w:rsidR="00FF31E9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FF31E9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FF31E9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FF31E9">
        <w:rPr>
          <w:rFonts w:asciiTheme="minorHAnsi" w:hAnsiTheme="minorHAnsi"/>
          <w:bCs/>
          <w:sz w:val="24"/>
          <w:szCs w:val="24"/>
        </w:rPr>
        <w:t>8 r., poz. 1986 ze zm</w:t>
      </w:r>
      <w:r w:rsidR="00FF31E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1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pakietem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wraz z pierwszą dostawą zobowiązany jest </w:t>
      </w:r>
      <w:proofErr w:type="gramStart"/>
      <w:r w:rsidRPr="00B06E8C">
        <w:rPr>
          <w:rFonts w:asciiTheme="minorHAnsi" w:hAnsiTheme="minorHAnsi"/>
          <w:sz w:val="24"/>
          <w:szCs w:val="24"/>
        </w:rPr>
        <w:t>przedstawić jaka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jest ścieżka postępowania ze zużytymi stymulatorami oraz podać kod odpadu.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2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Transport towaru do miejsca wskazanego przez Zamawiającego (</w:t>
      </w:r>
      <w:proofErr w:type="spellStart"/>
      <w:r w:rsidRPr="00B06E8C">
        <w:rPr>
          <w:rFonts w:asciiTheme="minorHAnsi" w:hAnsiTheme="minorHAnsi"/>
          <w:sz w:val="24"/>
          <w:szCs w:val="24"/>
        </w:rPr>
        <w:t>loco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Terminy dostaw będą wyznaczane każdorazowo przez Zamawiającego w zależności od okoliczności, o których mowa w ust. 1. Maksymalny czas realizacji zamówienia nie może przekroczyć 3 dni </w:t>
      </w:r>
      <w:r w:rsidR="0011789E">
        <w:rPr>
          <w:rFonts w:asciiTheme="minorHAnsi" w:hAnsiTheme="minorHAnsi"/>
          <w:sz w:val="24"/>
          <w:szCs w:val="24"/>
        </w:rPr>
        <w:t xml:space="preserve">roboczych </w:t>
      </w:r>
      <w:r w:rsidRPr="00B06E8C">
        <w:rPr>
          <w:rFonts w:asciiTheme="minorHAnsi" w:hAnsiTheme="minorHAnsi"/>
          <w:sz w:val="24"/>
          <w:szCs w:val="24"/>
        </w:rPr>
        <w:t>od dnia złożenia zamówienia. Jeżeli dostawa wypada w dniu wolnym od pracy, dostawa nastąpi w pierwszym dniu roboczym po wyznaczonym terminie.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:rsidR="00B06E8C" w:rsidRPr="00B06E8C" w:rsidRDefault="00B06E8C" w:rsidP="00DA78DC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dostarczenia towaru </w:t>
      </w:r>
      <w:proofErr w:type="gramStart"/>
      <w:r w:rsidRPr="00B06E8C">
        <w:rPr>
          <w:rFonts w:asciiTheme="minorHAnsi" w:hAnsiTheme="minorHAnsi"/>
          <w:sz w:val="24"/>
          <w:szCs w:val="24"/>
        </w:rPr>
        <w:t>złej jakości</w:t>
      </w:r>
      <w:proofErr w:type="gramEnd"/>
      <w:r w:rsidRPr="00B06E8C">
        <w:rPr>
          <w:rFonts w:asciiTheme="minorHAnsi" w:hAnsiTheme="minorHAnsi"/>
          <w:sz w:val="24"/>
          <w:szCs w:val="24"/>
        </w:rPr>
        <w:t>,</w:t>
      </w:r>
    </w:p>
    <w:p w:rsidR="00B06E8C" w:rsidRPr="00B06E8C" w:rsidRDefault="00B06E8C" w:rsidP="00DA78DC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dostarczenia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towaru niezgodnego z umową/zamówieniem.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:rsidR="00B06E8C" w:rsidRPr="00B06E8C" w:rsidRDefault="00B06E8C" w:rsidP="00DA78D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DA78D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3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 xml:space="preserve">Całkowita wartość umowy stanowi </w:t>
      </w:r>
      <w:proofErr w:type="gramStart"/>
      <w:r w:rsidRPr="002727A6">
        <w:rPr>
          <w:rFonts w:asciiTheme="minorHAnsi" w:hAnsiTheme="minorHAnsi"/>
          <w:sz w:val="24"/>
          <w:szCs w:val="24"/>
        </w:rPr>
        <w:t xml:space="preserve">kwotę </w:t>
      </w:r>
      <w:r w:rsidRPr="002727A6">
        <w:rPr>
          <w:rFonts w:asciiTheme="minorHAnsi" w:hAnsiTheme="minorHAnsi"/>
          <w:b/>
          <w:sz w:val="24"/>
          <w:szCs w:val="24"/>
        </w:rPr>
        <w:t>.............. zł</w:t>
      </w:r>
      <w:proofErr w:type="gramEnd"/>
      <w:r w:rsidRPr="002727A6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:rsidR="002727A6" w:rsidRPr="002727A6" w:rsidRDefault="002727A6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2727A6" w:rsidRPr="002727A6" w:rsidRDefault="002727A6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 xml:space="preserve">W przypadku urzędowej zmiany stawki VAT Zamawiający dopuszcza możliwość zmiany cen w </w:t>
      </w:r>
      <w:proofErr w:type="gramStart"/>
      <w:r w:rsidRPr="002727A6">
        <w:rPr>
          <w:rFonts w:asciiTheme="minorHAnsi" w:hAnsiTheme="minorHAnsi"/>
          <w:sz w:val="24"/>
          <w:szCs w:val="24"/>
        </w:rPr>
        <w:t>zakresie w jakim</w:t>
      </w:r>
      <w:proofErr w:type="gramEnd"/>
      <w:r w:rsidRPr="002727A6">
        <w:rPr>
          <w:rFonts w:asciiTheme="minorHAnsi" w:hAnsiTheme="minorHAnsi"/>
          <w:sz w:val="24"/>
          <w:szCs w:val="24"/>
        </w:rPr>
        <w:t xml:space="preserve">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2727A6" w:rsidRPr="002727A6" w:rsidRDefault="002727A6" w:rsidP="002727A6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2727A6" w:rsidRPr="002727A6" w:rsidRDefault="002727A6" w:rsidP="002727A6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2727A6" w:rsidRPr="002727A6" w:rsidRDefault="002727A6" w:rsidP="002727A6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 w:cstheme="minorHAnsi"/>
          <w:sz w:val="24"/>
          <w:szCs w:val="24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Zamawiający zobowiązuje się do</w:t>
      </w:r>
      <w:r w:rsidR="002727A6" w:rsidRPr="002727A6">
        <w:rPr>
          <w:rFonts w:asciiTheme="minorHAnsi" w:hAnsiTheme="minorHAnsi"/>
          <w:sz w:val="24"/>
          <w:szCs w:val="24"/>
        </w:rPr>
        <w:t xml:space="preserve"> zapłaty należności w terminie 6</w:t>
      </w:r>
      <w:r w:rsidRPr="002727A6">
        <w:rPr>
          <w:rFonts w:asciiTheme="minorHAnsi" w:hAnsiTheme="minorHAnsi"/>
          <w:sz w:val="24"/>
          <w:szCs w:val="24"/>
        </w:rPr>
        <w:t>0 dni od daty przyjęcia towaru do magazynu i otrzymania faktury wystawionej zgodnie z warunkami niniejszej umowy.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:rsidR="00B06E8C" w:rsidRPr="002727A6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727A6">
        <w:rPr>
          <w:rFonts w:asciiTheme="minorHAnsi" w:hAnsiTheme="minorHAnsi"/>
          <w:sz w:val="24"/>
          <w:szCs w:val="24"/>
        </w:rPr>
        <w:t>Za termin zapłaty</w:t>
      </w:r>
      <w:r w:rsidRPr="00B06E8C">
        <w:rPr>
          <w:rFonts w:asciiTheme="minorHAnsi" w:hAnsiTheme="minorHAnsi"/>
          <w:sz w:val="24"/>
          <w:szCs w:val="24"/>
        </w:rPr>
        <w:t xml:space="preserve"> strony uznają datę obciążenia rachunku bankowego Zamawiającego.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4</w:t>
      </w:r>
    </w:p>
    <w:p w:rsidR="00B06E8C" w:rsidRPr="00FF31E9" w:rsidRDefault="00FF31E9" w:rsidP="00DA78DC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="Calibri" w:hAnsi="Calibri" w:cs="Arial"/>
          <w:sz w:val="24"/>
          <w:szCs w:val="24"/>
        </w:rPr>
        <w:t xml:space="preserve">Reklamacja z </w:t>
      </w:r>
      <w:proofErr w:type="gramStart"/>
      <w:r w:rsidRPr="00FF31E9">
        <w:rPr>
          <w:rFonts w:ascii="Calibri" w:hAnsi="Calibri" w:cs="Arial"/>
          <w:sz w:val="24"/>
          <w:szCs w:val="24"/>
        </w:rPr>
        <w:t>tytułu jakości</w:t>
      </w:r>
      <w:proofErr w:type="gramEnd"/>
      <w:r w:rsidRPr="00FF31E9">
        <w:rPr>
          <w:rFonts w:ascii="Calibri" w:hAnsi="Calibri" w:cs="Arial"/>
          <w:sz w:val="24"/>
          <w:szCs w:val="24"/>
        </w:rPr>
        <w:t xml:space="preserve"> i ilości towaru/prośba o wystawienie korekty faktury/wymiana lub zwrot towaru i inne zgłoszone wątpliwości wymagające natychmiastowej reakcji (dalej jako reklamacja) składane będą przez Zamawiającego faksem na numer ______________________, lub drogą e-mail na adres ______________________a w terminie do 14 dni od daty stwierdzenia wady towaru oraz niezwłocznie po stwierdzeniu, możliwych do sprawdzenia w momencie dostawy braków ilościowych w dostawie lub od daty stwierdzenia pozostałych okoliczności o których mowa powyżej.</w:t>
      </w:r>
    </w:p>
    <w:p w:rsidR="00B06E8C" w:rsidRPr="00FF31E9" w:rsidRDefault="00B06E8C" w:rsidP="00DA78DC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Theme="minorHAnsi" w:hAnsiTheme="minorHAnsi"/>
          <w:sz w:val="24"/>
          <w:szCs w:val="24"/>
        </w:rPr>
        <w:t xml:space="preserve">Reklamacja winna zostać załatwiona przez Wykonawcę w terminie nie dłuższym niż 3 dni robocze od chwili jej złożenia. W przypadku braku odpowiedzi Wykonawcy na reklamację w tym terminie, reklamacja jest </w:t>
      </w:r>
      <w:proofErr w:type="gramStart"/>
      <w:r w:rsidRPr="00FF31E9">
        <w:rPr>
          <w:rFonts w:asciiTheme="minorHAnsi" w:hAnsiTheme="minorHAnsi"/>
          <w:sz w:val="24"/>
          <w:szCs w:val="24"/>
        </w:rPr>
        <w:t>traktowana jako</w:t>
      </w:r>
      <w:proofErr w:type="gramEnd"/>
      <w:r w:rsidRPr="00FF31E9">
        <w:rPr>
          <w:rFonts w:asciiTheme="minorHAnsi" w:hAnsiTheme="minorHAnsi"/>
          <w:sz w:val="24"/>
          <w:szCs w:val="24"/>
        </w:rPr>
        <w:t xml:space="preserve"> zasadna. Za datę złożenia reklamacji uważa się datę złożenia reklamacji za pomocą faksu, o ile zostanie następnie potwierdzona listem poleconym.</w:t>
      </w:r>
    </w:p>
    <w:p w:rsidR="00FF31E9" w:rsidRPr="00FF31E9" w:rsidRDefault="00FF31E9" w:rsidP="00DA78DC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F31E9">
        <w:rPr>
          <w:rFonts w:ascii="Calibri" w:hAnsi="Calibri" w:cs="Calibri"/>
          <w:sz w:val="24"/>
          <w:szCs w:val="24"/>
        </w:rPr>
        <w:t>Strony postanawiają, iż w przypadku złożenia przez Zamawiającego w okresie obowiązywania umowy trzech uzasadnionych reklamacji w zakresie tego samego pakietu, Zamawiający jest uprawniony do rozwiązania niniejszej umowy w zakresie dostaw reklamowanego pakietu ze skutkiem natychmiastowym. Przed rozwiązaniem umowy Zamawiający pisemnie wezwie Wykonawcę do należytego wykonywania umowy.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5</w:t>
      </w:r>
    </w:p>
    <w:p w:rsidR="00B06E8C" w:rsidRPr="00B06E8C" w:rsidRDefault="00B06E8C" w:rsidP="00DA78DC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6E8C" w:rsidRPr="00B06E8C" w:rsidRDefault="00B06E8C" w:rsidP="00DA78DC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:rsidR="00B06E8C" w:rsidRPr="00B06E8C" w:rsidRDefault="00B06E8C" w:rsidP="00DA78DC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6</w:t>
      </w:r>
    </w:p>
    <w:p w:rsidR="00B06E8C" w:rsidRPr="00B06E8C" w:rsidRDefault="00B06E8C" w:rsidP="00DA78D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będzie realizować jedynie zamówienia złożone przez uprawnionego pracownika Zamawiającego – </w:t>
      </w:r>
      <w:r w:rsidR="0011789E">
        <w:rPr>
          <w:rFonts w:asciiTheme="minorHAnsi" w:hAnsiTheme="minorHAnsi"/>
          <w:sz w:val="24"/>
          <w:szCs w:val="24"/>
        </w:rPr>
        <w:t xml:space="preserve">inż. Alinę </w:t>
      </w:r>
      <w:proofErr w:type="spellStart"/>
      <w:r w:rsidR="0011789E">
        <w:rPr>
          <w:rFonts w:asciiTheme="minorHAnsi" w:hAnsiTheme="minorHAnsi"/>
          <w:sz w:val="24"/>
          <w:szCs w:val="24"/>
        </w:rPr>
        <w:t>Zbieranek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lub mgr farm. </w:t>
      </w:r>
      <w:r w:rsidR="0011789E">
        <w:rPr>
          <w:rFonts w:asciiTheme="minorHAnsi" w:hAnsiTheme="minorHAnsi"/>
          <w:sz w:val="24"/>
          <w:szCs w:val="24"/>
        </w:rPr>
        <w:t>Macieja Arczewskiego. Dostawa z </w:t>
      </w:r>
      <w:r w:rsidRPr="00B06E8C">
        <w:rPr>
          <w:rFonts w:asciiTheme="minorHAnsi" w:hAnsiTheme="minorHAnsi"/>
          <w:sz w:val="24"/>
          <w:szCs w:val="24"/>
        </w:rPr>
        <w:t>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7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8</w:t>
      </w:r>
    </w:p>
    <w:p w:rsidR="00FF31E9" w:rsidRPr="00FF31E9" w:rsidRDefault="00FF31E9" w:rsidP="00FF31E9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Zamawiającemu przysługuje prawo rozwiązania umowy bez zachowania okresu wypowiedzenia, w przypadku:</w:t>
      </w:r>
    </w:p>
    <w:p w:rsidR="00FF31E9" w:rsidRPr="00FF31E9" w:rsidRDefault="00FF31E9" w:rsidP="00FF31E9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="Calibri" w:hAnsi="Calibri"/>
          <w:sz w:val="24"/>
          <w:szCs w:val="22"/>
        </w:rPr>
        <w:t>Gdy Wykonawca w chwili zawarcia umowy podlegał wykluczeniu z postępowania na podstawie art. 24 ust. 1 Prawa zamówień publicznych,</w:t>
      </w:r>
    </w:p>
    <w:p w:rsidR="00FF31E9" w:rsidRPr="00FF31E9" w:rsidRDefault="00FF31E9" w:rsidP="00FF31E9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Gdy wszczęto postępowanie o ogłoszenie upadłości, postępowanie naprawcze lub w przypadku likwidacji działalności Wykonawcy,</w:t>
      </w:r>
    </w:p>
    <w:p w:rsidR="00FF31E9" w:rsidRPr="00FF31E9" w:rsidRDefault="00FF31E9" w:rsidP="00FF31E9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Gdy Wykonawca dopuszcza się niewykonania lub nienależytego wykonania umowy, w szczególności w przypadku trzykrotnego nie dotrzymania terminów dostaw.</w:t>
      </w:r>
    </w:p>
    <w:p w:rsidR="00FF31E9" w:rsidRPr="00FF31E9" w:rsidRDefault="00FF31E9" w:rsidP="00FF31E9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2"/>
        </w:rPr>
      </w:pPr>
      <w:proofErr w:type="gramStart"/>
      <w:r w:rsidRPr="00FF31E9">
        <w:rPr>
          <w:rFonts w:ascii="Calibri" w:hAnsi="Calibri"/>
          <w:sz w:val="24"/>
          <w:szCs w:val="22"/>
        </w:rPr>
        <w:t>wskazanym</w:t>
      </w:r>
      <w:proofErr w:type="gramEnd"/>
      <w:r w:rsidRPr="00FF31E9">
        <w:rPr>
          <w:rFonts w:ascii="Calibri" w:hAnsi="Calibri"/>
          <w:sz w:val="24"/>
          <w:szCs w:val="22"/>
        </w:rPr>
        <w:t xml:space="preserve"> w § 4 ust. 3.</w:t>
      </w:r>
    </w:p>
    <w:p w:rsidR="00FF31E9" w:rsidRPr="00FF31E9" w:rsidRDefault="00FF31E9" w:rsidP="00FF31E9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Oświadczenie o rozwiązaniu umowy winno zostać sporządzone na piśmie pod rygorem nieważności i wskazywać przyczynę.</w:t>
      </w:r>
    </w:p>
    <w:p w:rsidR="00FF31E9" w:rsidRPr="00FF31E9" w:rsidRDefault="00FF31E9" w:rsidP="00FF31E9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 xml:space="preserve">W przypadku rozwiązania umowy w okolicznościach opisanych w ust. 1 lit. c i </w:t>
      </w:r>
      <w:proofErr w:type="gramStart"/>
      <w:r w:rsidRPr="00FF31E9">
        <w:rPr>
          <w:rFonts w:asciiTheme="minorHAnsi" w:hAnsiTheme="minorHAnsi"/>
          <w:sz w:val="24"/>
          <w:szCs w:val="22"/>
        </w:rPr>
        <w:t>d  niniejszego</w:t>
      </w:r>
      <w:proofErr w:type="gramEnd"/>
      <w:r w:rsidRPr="00FF31E9">
        <w:rPr>
          <w:rFonts w:asciiTheme="minorHAnsi" w:hAnsiTheme="minorHAnsi"/>
          <w:sz w:val="24"/>
          <w:szCs w:val="22"/>
        </w:rPr>
        <w:t xml:space="preserve"> paragrafu Zamawiający będzie uprawniony do naliczenia kary umownej w wysokości 10% wartości umowy wskazanej w § 3 ust. 1.</w:t>
      </w:r>
    </w:p>
    <w:p w:rsidR="00FF31E9" w:rsidRPr="00FF31E9" w:rsidRDefault="00FF31E9" w:rsidP="00FF31E9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Zamawiający może potrącić należności wynikające z kar umownych przy opłacaniu faktury za realizację przedmiotu umowy.</w:t>
      </w:r>
    </w:p>
    <w:p w:rsidR="00FF31E9" w:rsidRPr="00FF31E9" w:rsidRDefault="00FF31E9" w:rsidP="00FF31E9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 xml:space="preserve">Wykonawca oświadcza, iż wyraża zgodę dla Zamawiającego na potrącenie w rozumieniu art. 498 i 499 kodeksu cywilnego kwot naliczonych, w </w:t>
      </w:r>
      <w:proofErr w:type="gramStart"/>
      <w:r w:rsidRPr="00FF31E9">
        <w:rPr>
          <w:rFonts w:asciiTheme="minorHAnsi" w:hAnsiTheme="minorHAnsi"/>
          <w:sz w:val="24"/>
          <w:szCs w:val="22"/>
        </w:rPr>
        <w:t>przypadku o którym</w:t>
      </w:r>
      <w:proofErr w:type="gramEnd"/>
      <w:r w:rsidRPr="00FF31E9">
        <w:rPr>
          <w:rFonts w:asciiTheme="minorHAnsi" w:hAnsiTheme="minorHAnsi"/>
          <w:sz w:val="24"/>
          <w:szCs w:val="22"/>
        </w:rPr>
        <w:t xml:space="preserve">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FF31E9" w:rsidRPr="00FF31E9" w:rsidRDefault="00FF31E9" w:rsidP="00FF31E9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2"/>
        </w:rPr>
      </w:pPr>
      <w:r w:rsidRPr="00FF31E9">
        <w:rPr>
          <w:rFonts w:asciiTheme="minorHAnsi" w:hAnsiTheme="minorHAnsi"/>
          <w:sz w:val="24"/>
          <w:szCs w:val="22"/>
        </w:rPr>
        <w:t>Zamawiający oświadcza, że wystawi wykonawcy notę obciążeniową zawierającą szczegółowe naliczenie kwot w przypadku sytuacji, o której mowa w § 5 i 8.</w:t>
      </w:r>
    </w:p>
    <w:p w:rsidR="00B06E8C" w:rsidRPr="00B06E8C" w:rsidRDefault="00B06E8C" w:rsidP="00DA78D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9</w:t>
      </w:r>
    </w:p>
    <w:p w:rsidR="00B06E8C" w:rsidRPr="00B06E8C" w:rsidRDefault="00B06E8C" w:rsidP="00DA78D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zgodnie z ustawą z dnia 15 kwietnia 2011r. o działalności leczniczej (Dz. U. </w:t>
      </w:r>
      <w:proofErr w:type="gramStart"/>
      <w:r w:rsidRPr="00B06E8C">
        <w:rPr>
          <w:rFonts w:asciiTheme="minorHAnsi" w:hAnsiTheme="minorHAnsi"/>
          <w:sz w:val="24"/>
          <w:szCs w:val="24"/>
        </w:rPr>
        <w:t>nr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112, poz. 654) nie może bez zgody podmiotu tworzącego przenieść na osobę trzecią wierzytelności z niniejszej umowy.</w:t>
      </w:r>
    </w:p>
    <w:p w:rsidR="00B06E8C" w:rsidRPr="00B06E8C" w:rsidRDefault="00B06E8C" w:rsidP="00DA78D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10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do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zastrzeżeniem ustępu 2. </w:t>
      </w:r>
      <w:proofErr w:type="gramStart"/>
      <w:r w:rsidRPr="00B06E8C">
        <w:rPr>
          <w:rFonts w:asciiTheme="minorHAnsi" w:hAnsiTheme="minorHAnsi"/>
          <w:sz w:val="24"/>
          <w:szCs w:val="24"/>
        </w:rPr>
        <w:t>niniejszego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paragrafu.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B06E8C" w:rsidRPr="00B06E8C" w:rsidRDefault="00B06E8C" w:rsidP="00DA78D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11</w:t>
      </w:r>
    </w:p>
    <w:p w:rsidR="00B06E8C" w:rsidRPr="00B06E8C" w:rsidRDefault="00B06E8C" w:rsidP="00DA78D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12</w:t>
      </w:r>
    </w:p>
    <w:p w:rsidR="00B06E8C" w:rsidRPr="00B06E8C" w:rsidRDefault="00B06E8C" w:rsidP="00DA78D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2727A6" w:rsidRPr="00773BD2">
        <w:rPr>
          <w:rFonts w:asciiTheme="minorHAnsi" w:hAnsiTheme="minorHAnsi"/>
          <w:sz w:val="24"/>
          <w:szCs w:val="24"/>
        </w:rPr>
        <w:t xml:space="preserve">j.t. </w:t>
      </w:r>
      <w:r w:rsidR="002727A6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2727A6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2727A6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2727A6">
        <w:rPr>
          <w:rFonts w:asciiTheme="minorHAnsi" w:hAnsiTheme="minorHAnsi"/>
          <w:bCs/>
          <w:sz w:val="24"/>
          <w:szCs w:val="24"/>
        </w:rPr>
        <w:t>8 r., poz. 1986 ze zm</w:t>
      </w:r>
      <w:r w:rsidR="002727A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13</w:t>
      </w:r>
    </w:p>
    <w:p w:rsidR="00B06E8C" w:rsidRPr="00B06E8C" w:rsidRDefault="00B06E8C" w:rsidP="00DA78D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2727A6" w:rsidRDefault="002727A6" w:rsidP="00DA78DC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661003" w:rsidRPr="00DA78DC" w:rsidRDefault="00894394" w:rsidP="00DA78DC">
      <w:pPr>
        <w:jc w:val="center"/>
        <w:rPr>
          <w:rFonts w:asciiTheme="minorHAnsi" w:hAnsiTheme="minorHAnsi"/>
          <w:b/>
        </w:rPr>
      </w:pPr>
      <w:proofErr w:type="gramStart"/>
      <w:r w:rsidRPr="00DA78D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sectPr w:rsidR="00661003" w:rsidRPr="00DA78DC" w:rsidSect="00E45C19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BD" w:rsidRDefault="00F019BD">
      <w:r>
        <w:separator/>
      </w:r>
    </w:p>
  </w:endnote>
  <w:endnote w:type="continuationSeparator" w:id="0">
    <w:p w:rsidR="00F019BD" w:rsidRDefault="00F0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6F1DB9" w:rsidRDefault="00F019BD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PAGE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212E44">
      <w:rPr>
        <w:rFonts w:asciiTheme="minorHAnsi" w:hAnsiTheme="minorHAnsi" w:cstheme="minorHAnsi"/>
        <w:b/>
        <w:noProof/>
      </w:rPr>
      <w:t>21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NUMPAGES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212E44">
      <w:rPr>
        <w:rFonts w:asciiTheme="minorHAnsi" w:hAnsiTheme="minorHAnsi" w:cstheme="minorHAnsi"/>
        <w:b/>
        <w:noProof/>
      </w:rPr>
      <w:t>27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</w:p>
  <w:p w:rsidR="00F019BD" w:rsidRDefault="00F01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6F1DB9" w:rsidRDefault="00F019BD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212E44">
      <w:rPr>
        <w:rFonts w:asciiTheme="minorHAnsi" w:hAnsiTheme="minorHAnsi" w:cstheme="minorHAnsi"/>
        <w:noProof/>
      </w:rPr>
      <w:t>1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212E44">
      <w:rPr>
        <w:rFonts w:asciiTheme="minorHAnsi" w:hAnsiTheme="minorHAnsi" w:cstheme="minorHAnsi"/>
        <w:noProof/>
      </w:rPr>
      <w:t>27</w:t>
    </w:r>
    <w:r w:rsidRPr="006F1DB9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6F1DB9" w:rsidRDefault="00F019BD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DA78DC">
      <w:rPr>
        <w:rFonts w:asciiTheme="minorHAnsi" w:hAnsiTheme="minorHAnsi" w:cstheme="minorHAnsi"/>
        <w:b/>
      </w:rPr>
      <w:fldChar w:fldCharType="begin"/>
    </w:r>
    <w:r w:rsidRPr="00DA78DC">
      <w:rPr>
        <w:rFonts w:asciiTheme="minorHAnsi" w:hAnsiTheme="minorHAnsi" w:cstheme="minorHAnsi"/>
        <w:b/>
      </w:rPr>
      <w:instrText xml:space="preserve"> PAGE </w:instrText>
    </w:r>
    <w:r w:rsidRPr="00DA78DC">
      <w:rPr>
        <w:rFonts w:asciiTheme="minorHAnsi" w:hAnsiTheme="minorHAnsi" w:cstheme="minorHAnsi"/>
        <w:b/>
      </w:rPr>
      <w:fldChar w:fldCharType="separate"/>
    </w:r>
    <w:r w:rsidR="00212E44">
      <w:rPr>
        <w:rFonts w:asciiTheme="minorHAnsi" w:hAnsiTheme="minorHAnsi" w:cstheme="minorHAnsi"/>
        <w:b/>
        <w:noProof/>
      </w:rPr>
      <w:t>22</w:t>
    </w:r>
    <w:r w:rsidRPr="00DA78DC">
      <w:rPr>
        <w:rFonts w:asciiTheme="minorHAnsi" w:hAnsiTheme="minorHAnsi" w:cstheme="minorHAnsi"/>
        <w:b/>
      </w:rPr>
      <w:fldChar w:fldCharType="end"/>
    </w:r>
    <w:r w:rsidRPr="00DA78DC">
      <w:rPr>
        <w:rFonts w:asciiTheme="minorHAnsi" w:hAnsiTheme="minorHAnsi" w:cstheme="minorHAnsi"/>
        <w:b/>
      </w:rPr>
      <w:t xml:space="preserve"> </w:t>
    </w:r>
    <w:r w:rsidRPr="006F1DB9">
      <w:rPr>
        <w:rFonts w:asciiTheme="minorHAnsi" w:hAnsiTheme="minorHAnsi" w:cstheme="minorHAnsi"/>
      </w:rPr>
      <w:t xml:space="preserve">z </w:t>
    </w:r>
    <w:r w:rsidRPr="00DA78DC">
      <w:rPr>
        <w:rFonts w:asciiTheme="minorHAnsi" w:hAnsiTheme="minorHAnsi" w:cstheme="minorHAnsi"/>
        <w:b/>
      </w:rPr>
      <w:fldChar w:fldCharType="begin"/>
    </w:r>
    <w:r w:rsidRPr="00DA78DC">
      <w:rPr>
        <w:rFonts w:asciiTheme="minorHAnsi" w:hAnsiTheme="minorHAnsi" w:cstheme="minorHAnsi"/>
        <w:b/>
      </w:rPr>
      <w:instrText xml:space="preserve"> NUMPAGES </w:instrText>
    </w:r>
    <w:r w:rsidRPr="00DA78DC">
      <w:rPr>
        <w:rFonts w:asciiTheme="minorHAnsi" w:hAnsiTheme="minorHAnsi" w:cstheme="minorHAnsi"/>
        <w:b/>
      </w:rPr>
      <w:fldChar w:fldCharType="separate"/>
    </w:r>
    <w:r w:rsidR="00212E44">
      <w:rPr>
        <w:rFonts w:asciiTheme="minorHAnsi" w:hAnsiTheme="minorHAnsi" w:cstheme="minorHAnsi"/>
        <w:b/>
        <w:noProof/>
      </w:rPr>
      <w:t>27</w:t>
    </w:r>
    <w:r w:rsidRPr="00DA78DC">
      <w:rPr>
        <w:rFonts w:asciiTheme="minorHAnsi" w:hAnsiTheme="minorHAnsi" w:cstheme="minorHAnsi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6F1DB9" w:rsidRDefault="00F019BD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212E44">
      <w:rPr>
        <w:rFonts w:asciiTheme="minorHAnsi" w:hAnsiTheme="minorHAnsi" w:cstheme="minorHAnsi"/>
        <w:noProof/>
      </w:rPr>
      <w:t>23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212E44">
      <w:rPr>
        <w:rFonts w:asciiTheme="minorHAnsi" w:hAnsiTheme="minorHAnsi" w:cstheme="minorHAnsi"/>
        <w:noProof/>
      </w:rPr>
      <w:t>27</w:t>
    </w:r>
    <w:r w:rsidRPr="006F1DB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BD" w:rsidRDefault="00F019BD">
      <w:r>
        <w:separator/>
      </w:r>
    </w:p>
  </w:footnote>
  <w:footnote w:type="continuationSeparator" w:id="0">
    <w:p w:rsidR="00F019BD" w:rsidRDefault="00F019BD">
      <w:r>
        <w:continuationSeparator/>
      </w:r>
    </w:p>
  </w:footnote>
  <w:footnote w:id="1">
    <w:p w:rsidR="00F019BD" w:rsidRPr="006B7EA3" w:rsidRDefault="00F019BD" w:rsidP="00552E2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F019BD" w:rsidRDefault="00F019BD" w:rsidP="00552E2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F019BD" w:rsidRPr="00C37270" w:rsidRDefault="00F019BD" w:rsidP="002C3E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Default="00F019BD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B7234B" w:rsidRDefault="00F019BD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6938B2" w:rsidRDefault="00F019BD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BD" w:rsidRPr="00B7234B" w:rsidRDefault="00F019BD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CF3E26"/>
    <w:multiLevelType w:val="hybridMultilevel"/>
    <w:tmpl w:val="E2F2249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80EA23CA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50"/>
  </w:num>
  <w:num w:numId="7">
    <w:abstractNumId w:val="23"/>
  </w:num>
  <w:num w:numId="8">
    <w:abstractNumId w:val="46"/>
  </w:num>
  <w:num w:numId="9">
    <w:abstractNumId w:val="48"/>
  </w:num>
  <w:num w:numId="10">
    <w:abstractNumId w:val="61"/>
  </w:num>
  <w:num w:numId="11">
    <w:abstractNumId w:val="38"/>
  </w:num>
  <w:num w:numId="12">
    <w:abstractNumId w:val="26"/>
  </w:num>
  <w:num w:numId="13">
    <w:abstractNumId w:val="56"/>
  </w:num>
  <w:num w:numId="14">
    <w:abstractNumId w:val="44"/>
  </w:num>
  <w:num w:numId="15">
    <w:abstractNumId w:val="62"/>
  </w:num>
  <w:num w:numId="16">
    <w:abstractNumId w:val="21"/>
  </w:num>
  <w:num w:numId="17">
    <w:abstractNumId w:val="39"/>
  </w:num>
  <w:num w:numId="18">
    <w:abstractNumId w:val="37"/>
  </w:num>
  <w:num w:numId="19">
    <w:abstractNumId w:val="54"/>
  </w:num>
  <w:num w:numId="20">
    <w:abstractNumId w:val="20"/>
  </w:num>
  <w:num w:numId="21">
    <w:abstractNumId w:val="19"/>
  </w:num>
  <w:num w:numId="22">
    <w:abstractNumId w:val="32"/>
  </w:num>
  <w:num w:numId="23">
    <w:abstractNumId w:val="52"/>
  </w:num>
  <w:num w:numId="24">
    <w:abstractNumId w:val="33"/>
  </w:num>
  <w:num w:numId="25">
    <w:abstractNumId w:val="57"/>
  </w:num>
  <w:num w:numId="26">
    <w:abstractNumId w:val="35"/>
  </w:num>
  <w:num w:numId="27">
    <w:abstractNumId w:val="5"/>
  </w:num>
  <w:num w:numId="28">
    <w:abstractNumId w:val="31"/>
  </w:num>
  <w:num w:numId="29">
    <w:abstractNumId w:val="30"/>
  </w:num>
  <w:num w:numId="30">
    <w:abstractNumId w:val="45"/>
  </w:num>
  <w:num w:numId="31">
    <w:abstractNumId w:val="24"/>
  </w:num>
  <w:num w:numId="32">
    <w:abstractNumId w:val="51"/>
  </w:num>
  <w:num w:numId="33">
    <w:abstractNumId w:val="41"/>
  </w:num>
  <w:num w:numId="34">
    <w:abstractNumId w:val="22"/>
  </w:num>
  <w:num w:numId="35">
    <w:abstractNumId w:val="4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55"/>
  </w:num>
  <w:num w:numId="46">
    <w:abstractNumId w:val="29"/>
  </w:num>
  <w:num w:numId="47">
    <w:abstractNumId w:val="59"/>
  </w:num>
  <w:num w:numId="48">
    <w:abstractNumId w:val="28"/>
  </w:num>
  <w:num w:numId="49">
    <w:abstractNumId w:val="36"/>
  </w:num>
  <w:num w:numId="50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D7BBF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89E"/>
    <w:rsid w:val="00117A4E"/>
    <w:rsid w:val="00120155"/>
    <w:rsid w:val="00120A45"/>
    <w:rsid w:val="00121DAB"/>
    <w:rsid w:val="00122592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61C3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957AB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0A02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44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27A6"/>
    <w:rsid w:val="00275D81"/>
    <w:rsid w:val="00291D07"/>
    <w:rsid w:val="00295A5A"/>
    <w:rsid w:val="002A512C"/>
    <w:rsid w:val="002B66A4"/>
    <w:rsid w:val="002C3E7B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496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1B4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3F3929"/>
    <w:rsid w:val="0040091C"/>
    <w:rsid w:val="00402532"/>
    <w:rsid w:val="00404C3D"/>
    <w:rsid w:val="0040579D"/>
    <w:rsid w:val="00407C89"/>
    <w:rsid w:val="00412A11"/>
    <w:rsid w:val="00416FC9"/>
    <w:rsid w:val="0042542F"/>
    <w:rsid w:val="004256F4"/>
    <w:rsid w:val="00425BFA"/>
    <w:rsid w:val="0042605A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A41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2E22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86FE4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206"/>
    <w:rsid w:val="005C7C54"/>
    <w:rsid w:val="005D1A4D"/>
    <w:rsid w:val="005D62C8"/>
    <w:rsid w:val="005E3192"/>
    <w:rsid w:val="005E3F43"/>
    <w:rsid w:val="005E7C58"/>
    <w:rsid w:val="005F027B"/>
    <w:rsid w:val="005F7307"/>
    <w:rsid w:val="0060297A"/>
    <w:rsid w:val="00610ED2"/>
    <w:rsid w:val="00614C64"/>
    <w:rsid w:val="00624227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17FE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1DB9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602E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7AF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3A3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19FD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D7F"/>
    <w:rsid w:val="00CA0EE2"/>
    <w:rsid w:val="00CA1C57"/>
    <w:rsid w:val="00CB0A2C"/>
    <w:rsid w:val="00CB2FF5"/>
    <w:rsid w:val="00CB3C7F"/>
    <w:rsid w:val="00CB7414"/>
    <w:rsid w:val="00CD1EFA"/>
    <w:rsid w:val="00CD3C8E"/>
    <w:rsid w:val="00CD4738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A78DC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1892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9BD"/>
    <w:rsid w:val="00F01FBB"/>
    <w:rsid w:val="00F04300"/>
    <w:rsid w:val="00F06091"/>
    <w:rsid w:val="00F07E42"/>
    <w:rsid w:val="00F105BE"/>
    <w:rsid w:val="00F14D4D"/>
    <w:rsid w:val="00F16AE7"/>
    <w:rsid w:val="00F21F1A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31E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52E22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E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2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52E2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takt@dpo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B49E-9AE1-4573-9362-A7B5D14D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27</Pages>
  <Words>8563</Words>
  <Characters>51378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59822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17</cp:revision>
  <cp:lastPrinted>2018-02-13T17:54:00Z</cp:lastPrinted>
  <dcterms:created xsi:type="dcterms:W3CDTF">2016-12-22T14:33:00Z</dcterms:created>
  <dcterms:modified xsi:type="dcterms:W3CDTF">2019-07-08T23:25:00Z</dcterms:modified>
</cp:coreProperties>
</file>