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0A7A4B">
        <w:rPr>
          <w:rFonts w:asciiTheme="minorHAnsi" w:hAnsiTheme="minorHAnsi"/>
          <w:b/>
          <w:sz w:val="24"/>
          <w:szCs w:val="24"/>
        </w:rPr>
        <w:t>5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0A7A4B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66C4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66C4">
        <w:rPr>
          <w:rFonts w:asciiTheme="minorHAnsi" w:hAnsiTheme="minorHAnsi"/>
          <w:b/>
          <w:sz w:val="24"/>
          <w:szCs w:val="24"/>
        </w:rPr>
        <w:t xml:space="preserve">Nazwa: 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Zakup i dostawa sprzętu medycznego jednorazowego użytku, w tym: cewniki, </w:t>
      </w:r>
      <w:r w:rsidR="000A7A4B">
        <w:rPr>
          <w:rFonts w:asciiTheme="minorHAnsi" w:hAnsiTheme="minorHAnsi"/>
          <w:b/>
          <w:sz w:val="24"/>
          <w:szCs w:val="24"/>
        </w:rPr>
        <w:t xml:space="preserve">filtry do respiratora, </w:t>
      </w:r>
      <w:r w:rsidR="000A7A4B" w:rsidRPr="007E147D">
        <w:rPr>
          <w:rFonts w:asciiTheme="minorHAnsi" w:hAnsiTheme="minorHAnsi"/>
          <w:b/>
          <w:sz w:val="24"/>
          <w:szCs w:val="24"/>
        </w:rPr>
        <w:t>igły,</w:t>
      </w:r>
      <w:r w:rsidR="000A7A4B">
        <w:rPr>
          <w:rFonts w:asciiTheme="minorHAnsi" w:hAnsiTheme="minorHAnsi"/>
          <w:b/>
          <w:sz w:val="24"/>
          <w:szCs w:val="24"/>
        </w:rPr>
        <w:t xml:space="preserve"> 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końcówka noża harmonicznego, </w:t>
      </w:r>
      <w:r w:rsidR="000A7A4B">
        <w:rPr>
          <w:rFonts w:asciiTheme="minorHAnsi" w:hAnsiTheme="minorHAnsi"/>
          <w:b/>
          <w:sz w:val="24"/>
          <w:szCs w:val="24"/>
        </w:rPr>
        <w:t xml:space="preserve">wyroby do </w:t>
      </w:r>
      <w:proofErr w:type="spellStart"/>
      <w:r w:rsidR="000A7A4B">
        <w:rPr>
          <w:rFonts w:asciiTheme="minorHAnsi" w:hAnsiTheme="minorHAnsi"/>
          <w:b/>
          <w:sz w:val="24"/>
          <w:szCs w:val="24"/>
        </w:rPr>
        <w:t>stomii</w:t>
      </w:r>
      <w:proofErr w:type="spellEnd"/>
      <w:r w:rsidR="000A7A4B">
        <w:rPr>
          <w:rFonts w:asciiTheme="minorHAnsi" w:hAnsiTheme="minorHAnsi"/>
          <w:b/>
          <w:sz w:val="24"/>
          <w:szCs w:val="24"/>
        </w:rPr>
        <w:t>, wyroby do tlenu, komora wilgotna, osłona oka,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 i. in</w:t>
      </w:r>
      <w:r w:rsidR="000A219C"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BD2CC5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Pr="007E147D">
        <w:rPr>
          <w:rFonts w:asciiTheme="minorHAnsi" w:hAnsiTheme="minorHAnsi"/>
          <w:b/>
          <w:sz w:val="24"/>
          <w:szCs w:val="24"/>
        </w:rPr>
        <w:t xml:space="preserve">sprzętu medycznego jednorazowego użytku, w tym: cewniki, </w:t>
      </w:r>
      <w:r>
        <w:rPr>
          <w:rFonts w:asciiTheme="minorHAnsi" w:hAnsiTheme="minorHAnsi"/>
          <w:b/>
          <w:sz w:val="24"/>
          <w:szCs w:val="24"/>
        </w:rPr>
        <w:t xml:space="preserve">filtry do respiratora, </w:t>
      </w:r>
      <w:r w:rsidRPr="007E147D">
        <w:rPr>
          <w:rFonts w:asciiTheme="minorHAnsi" w:hAnsiTheme="minorHAnsi"/>
          <w:b/>
          <w:sz w:val="24"/>
          <w:szCs w:val="24"/>
        </w:rPr>
        <w:t>igły,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E147D">
        <w:rPr>
          <w:rFonts w:asciiTheme="minorHAnsi" w:hAnsiTheme="minorHAnsi"/>
          <w:b/>
          <w:sz w:val="24"/>
          <w:szCs w:val="24"/>
        </w:rPr>
        <w:t xml:space="preserve">końcówka noża harmonicznego, </w:t>
      </w:r>
      <w:r>
        <w:rPr>
          <w:rFonts w:asciiTheme="minorHAnsi" w:hAnsiTheme="minorHAnsi"/>
          <w:b/>
          <w:sz w:val="24"/>
          <w:szCs w:val="24"/>
        </w:rPr>
        <w:t xml:space="preserve">wyroby do </w:t>
      </w:r>
      <w:proofErr w:type="spellStart"/>
      <w:r>
        <w:rPr>
          <w:rFonts w:asciiTheme="minorHAnsi" w:hAnsiTheme="minorHAnsi"/>
          <w:b/>
          <w:sz w:val="24"/>
          <w:szCs w:val="24"/>
        </w:rPr>
        <w:t>stomii</w:t>
      </w:r>
      <w:proofErr w:type="spellEnd"/>
      <w:r>
        <w:rPr>
          <w:rFonts w:asciiTheme="minorHAnsi" w:hAnsiTheme="minorHAnsi"/>
          <w:b/>
          <w:sz w:val="24"/>
          <w:szCs w:val="24"/>
        </w:rPr>
        <w:t>, wyroby do tlenu, komora wilgotna, osłona oka,</w:t>
      </w:r>
      <w:r w:rsidRPr="007E147D">
        <w:rPr>
          <w:rFonts w:asciiTheme="minorHAnsi" w:hAnsiTheme="minorHAnsi"/>
          <w:b/>
          <w:sz w:val="24"/>
          <w:szCs w:val="24"/>
        </w:rPr>
        <w:t xml:space="preserve"> i. in</w:t>
      </w:r>
      <w:r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Kod CPV: </w:t>
      </w:r>
      <w:r>
        <w:rPr>
          <w:rFonts w:asciiTheme="minorHAnsi" w:hAnsiTheme="minorHAnsi"/>
          <w:sz w:val="24"/>
          <w:szCs w:val="24"/>
        </w:rPr>
        <w:t>33141200-2, 33141000-0, 33141122-1, 33141410-7, 33141600-6, 33141000-0, 33157400-9, 33196000-0, 33600000-6, 33141111-1</w:t>
      </w:r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>
        <w:rPr>
          <w:rFonts w:asciiTheme="minorHAnsi" w:hAnsiTheme="minorHAnsi"/>
          <w:b/>
          <w:sz w:val="24"/>
          <w:szCs w:val="24"/>
        </w:rPr>
        <w:t>10</w:t>
      </w:r>
      <w:r w:rsidRPr="00ED240D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lastRenderedPageBreak/>
        <w:t xml:space="preserve"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(Dz. U. z 2015r., poz.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Wykonawca zobowiązany jest do posiadania niezbędnych atestów, certyfikatów, kart technicznych i świadectw rejestracji zgodnie z postanowieniami ustawy z dnia 20 maja 2010r. o wyrobach medycznych (Dz. U. z 2015r., </w:t>
      </w:r>
      <w:proofErr w:type="spellStart"/>
      <w:r w:rsidRPr="00ED240D">
        <w:rPr>
          <w:rFonts w:asciiTheme="minorHAnsi" w:hAnsiTheme="minorHAnsi" w:cs="Arial"/>
          <w:szCs w:val="24"/>
        </w:rPr>
        <w:t>poz</w:t>
      </w:r>
      <w:proofErr w:type="spellEnd"/>
      <w:r w:rsidRPr="00ED240D">
        <w:rPr>
          <w:rFonts w:asciiTheme="minorHAnsi" w:hAnsiTheme="minorHAnsi" w:cs="Arial"/>
          <w:szCs w:val="24"/>
        </w:rPr>
        <w:t xml:space="preserve"> 876 z </w:t>
      </w:r>
      <w:proofErr w:type="spellStart"/>
      <w:r w:rsidRPr="00ED240D">
        <w:rPr>
          <w:rFonts w:asciiTheme="minorHAnsi" w:hAnsiTheme="minorHAnsi" w:cs="Arial"/>
          <w:szCs w:val="24"/>
        </w:rPr>
        <w:t>późn</w:t>
      </w:r>
      <w:proofErr w:type="spellEnd"/>
      <w:r w:rsidRPr="00ED240D">
        <w:rPr>
          <w:rFonts w:asciiTheme="minorHAnsi" w:hAnsiTheme="minorHAnsi" w:cs="Arial"/>
          <w:szCs w:val="24"/>
        </w:rPr>
        <w:t>. zm.).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ED240D" w:rsidRDefault="000A7A4B" w:rsidP="000A7A4B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0A7A4B">
      <w:pPr>
        <w:pStyle w:val="Tekstpodstawowy21"/>
        <w:widowControl/>
        <w:numPr>
          <w:ilvl w:val="3"/>
          <w:numId w:val="51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557C0E" w:rsidRDefault="000A7A4B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557C0E">
        <w:rPr>
          <w:rFonts w:asciiTheme="minorHAnsi" w:hAnsiTheme="minorHAnsi"/>
        </w:rPr>
        <w:t xml:space="preserve">Wymagany termin realizacji zamówienia – </w:t>
      </w:r>
      <w:r>
        <w:rPr>
          <w:rFonts w:asciiTheme="minorHAnsi" w:hAnsiTheme="minorHAnsi"/>
        </w:rPr>
        <w:t>sukcesywnie w terminie od 1 do 8</w:t>
      </w:r>
      <w:r w:rsidRPr="00557C0E">
        <w:rPr>
          <w:rFonts w:asciiTheme="minorHAnsi" w:hAnsiTheme="minorHAnsi"/>
        </w:rPr>
        <w:t xml:space="preserve"> dni roboczych  od złożenia zamówienia w okresie</w:t>
      </w:r>
      <w:r w:rsidRPr="00557C0E">
        <w:rPr>
          <w:rFonts w:asciiTheme="minorHAnsi" w:hAnsiTheme="minorHAnsi"/>
          <w:b/>
        </w:rPr>
        <w:t xml:space="preserve"> </w:t>
      </w:r>
      <w:r w:rsidRPr="00557C0E">
        <w:rPr>
          <w:rFonts w:asciiTheme="minorHAnsi" w:hAnsiTheme="minorHAnsi"/>
        </w:rPr>
        <w:t xml:space="preserve">od </w:t>
      </w:r>
      <w:r w:rsidRPr="00557C0E">
        <w:rPr>
          <w:rFonts w:asciiTheme="minorHAnsi" w:hAnsiTheme="minorHAnsi"/>
          <w:b/>
        </w:rPr>
        <w:t>dwunastu miesięcy</w:t>
      </w:r>
      <w:r w:rsidRPr="00557C0E">
        <w:rPr>
          <w:rFonts w:asciiTheme="minorHAnsi" w:hAnsiTheme="minorHAnsi"/>
        </w:rPr>
        <w:t xml:space="preserve"> od dnia podpisania umowy</w:t>
      </w:r>
      <w:r w:rsidRPr="00557C0E">
        <w:rPr>
          <w:rFonts w:asciiTheme="minorHAnsi" w:hAnsiTheme="minorHAnsi"/>
          <w:b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zdolności technicznej i zawodowej: </w:t>
      </w:r>
    </w:p>
    <w:p w:rsidR="00D87781" w:rsidRPr="00141017" w:rsidRDefault="00351CA4" w:rsidP="00D8778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 xml:space="preserve">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krótszy- w tym okresie </w:t>
      </w:r>
      <w:r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433"/>
      </w:tblGrid>
      <w:tr w:rsidR="00AD7F30" w:rsidRPr="0044123D" w:rsidTr="00AD7F30">
        <w:trPr>
          <w:cantSplit/>
          <w:trHeight w:val="823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D143C2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5433" w:type="dxa"/>
            <w:vAlign w:val="center"/>
          </w:tcPr>
          <w:p w:rsidR="00AD7F30" w:rsidRPr="0044123D" w:rsidRDefault="00AD7F30" w:rsidP="00D143C2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AD7F30" w:rsidRPr="0044123D" w:rsidTr="00AD7F30">
        <w:trPr>
          <w:trHeight w:val="228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color w:val="000000"/>
                <w:sz w:val="24"/>
                <w:szCs w:val="22"/>
                <w:lang w:eastAsia="pl-PL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30 000,00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1 500,00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4 300,00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50 000,00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2 600,00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14 800,00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4 800,00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Pr="0044123D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1 800,00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6 250,00</w:t>
            </w:r>
          </w:p>
        </w:tc>
      </w:tr>
      <w:tr w:rsidR="00AD7F30" w:rsidRPr="0044123D" w:rsidTr="00AD7F30">
        <w:trPr>
          <w:trHeight w:val="85"/>
          <w:jc w:val="center"/>
        </w:trPr>
        <w:tc>
          <w:tcPr>
            <w:tcW w:w="3132" w:type="dxa"/>
            <w:vAlign w:val="center"/>
          </w:tcPr>
          <w:p w:rsidR="00AD7F30" w:rsidRDefault="00AD7F30" w:rsidP="00AD7F30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5433" w:type="dxa"/>
            <w:vAlign w:val="bottom"/>
          </w:tcPr>
          <w:p w:rsidR="00AD7F30" w:rsidRPr="00AD7F30" w:rsidRDefault="00AD7F30" w:rsidP="00AD7F30">
            <w:pPr>
              <w:jc w:val="right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AD7F30">
              <w:rPr>
                <w:rFonts w:ascii="Calibri" w:hAnsi="Calibri"/>
                <w:b/>
                <w:color w:val="000000"/>
                <w:sz w:val="24"/>
                <w:szCs w:val="22"/>
              </w:rPr>
              <w:t>1 360,00</w:t>
            </w: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lastRenderedPageBreak/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lastRenderedPageBreak/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lastRenderedPageBreak/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E266C4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AD7F30" w:rsidRPr="00AD7F30">
        <w:rPr>
          <w:rFonts w:asciiTheme="minorHAnsi" w:hAnsiTheme="minorHAnsi"/>
          <w:szCs w:val="24"/>
        </w:rPr>
        <w:t xml:space="preserve">sprzętu medycznego jednorazowego użytku, w tym: cewniki, filtry do respiratora, igły, końcówka noża harmonicznego, wyroby do </w:t>
      </w:r>
      <w:proofErr w:type="spellStart"/>
      <w:r w:rsidR="00AD7F30" w:rsidRPr="00AD7F30">
        <w:rPr>
          <w:rFonts w:asciiTheme="minorHAnsi" w:hAnsiTheme="minorHAnsi"/>
          <w:szCs w:val="24"/>
        </w:rPr>
        <w:t>stomii</w:t>
      </w:r>
      <w:proofErr w:type="spellEnd"/>
      <w:r w:rsidR="00AD7F30" w:rsidRPr="00AD7F30">
        <w:rPr>
          <w:rFonts w:asciiTheme="minorHAnsi" w:hAnsiTheme="minorHAnsi"/>
          <w:szCs w:val="24"/>
        </w:rPr>
        <w:t>, wyroby do tlenu, komora wilgotna, osłona oka, i. in</w:t>
      </w:r>
      <w:r w:rsidR="00AD7F30" w:rsidRPr="00AD7F30">
        <w:rPr>
          <w:rFonts w:asciiTheme="minorHAnsi" w:eastAsia="Calibri" w:hAnsiTheme="minorHAnsi"/>
          <w:szCs w:val="24"/>
          <w:lang w:eastAsia="pl-PL"/>
        </w:rPr>
        <w:t>.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 w:rsidR="00AD7F30">
        <w:rPr>
          <w:rFonts w:asciiTheme="minorHAnsi" w:hAnsiTheme="minorHAnsi"/>
          <w:szCs w:val="24"/>
        </w:rPr>
        <w:t>5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8B4A4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30</w:t>
      </w:r>
      <w:r w:rsidR="00AD7F30">
        <w:rPr>
          <w:rFonts w:asciiTheme="minorHAnsi" w:hAnsiTheme="minorHAnsi"/>
          <w:b w:val="0"/>
          <w:szCs w:val="24"/>
        </w:rPr>
        <w:t>.06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D87781">
        <w:rPr>
          <w:rFonts w:asciiTheme="minorHAnsi" w:hAnsiTheme="minorHAnsi"/>
          <w:b w:val="0"/>
          <w:szCs w:val="24"/>
        </w:rPr>
        <w:t>7 r. przed godz. 09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8B4A41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AD7F30">
        <w:rPr>
          <w:rFonts w:asciiTheme="minorHAnsi" w:hAnsiTheme="minorHAnsi"/>
          <w:b/>
          <w:szCs w:val="24"/>
        </w:rPr>
        <w:t>06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D87781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lastRenderedPageBreak/>
        <w:t xml:space="preserve">Otwarcie ofert nastąpi w dniu </w:t>
      </w:r>
      <w:r w:rsidR="008B4A41">
        <w:rPr>
          <w:rFonts w:asciiTheme="minorHAnsi" w:hAnsiTheme="minorHAnsi"/>
          <w:b/>
          <w:szCs w:val="24"/>
        </w:rPr>
        <w:t>30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AD7F30">
        <w:rPr>
          <w:rFonts w:asciiTheme="minorHAnsi" w:hAnsiTheme="minorHAnsi"/>
          <w:b/>
          <w:szCs w:val="24"/>
        </w:rPr>
        <w:t>6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4D4B57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D7F30" w:rsidRPr="00F97749" w:rsidTr="00D143C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D143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F30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D7F30">
        <w:rPr>
          <w:rFonts w:asciiTheme="minorHAnsi" w:hAnsiTheme="minorHAnsi"/>
          <w:sz w:val="24"/>
        </w:rPr>
        <w:t>goszcz, dn. 20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D7F30">
        <w:rPr>
          <w:rFonts w:asciiTheme="minorHAnsi" w:hAnsiTheme="minorHAnsi"/>
          <w:sz w:val="24"/>
        </w:rPr>
        <w:t>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D7F3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</w:t>
      </w:r>
      <w:r w:rsidR="00AD7F30">
        <w:rPr>
          <w:rFonts w:asciiTheme="minorHAnsi" w:hAnsiTheme="minorHAnsi"/>
          <w:szCs w:val="24"/>
        </w:rPr>
        <w:t>5</w:t>
      </w:r>
      <w:r w:rsidR="00AF6570">
        <w:rPr>
          <w:rFonts w:asciiTheme="minorHAnsi" w:hAnsiTheme="minorHAnsi"/>
          <w:szCs w:val="24"/>
        </w:rPr>
        <w:t>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</w:t>
      </w:r>
      <w:r w:rsidR="000B7BDD">
        <w:rPr>
          <w:rFonts w:asciiTheme="minorHAnsi" w:hAnsiTheme="minorHAnsi"/>
          <w:sz w:val="24"/>
        </w:rPr>
        <w:t>iązując do ogłoszonego w dniu 21</w:t>
      </w:r>
      <w:r w:rsidRPr="00B15EEA">
        <w:rPr>
          <w:rFonts w:asciiTheme="minorHAnsi" w:hAnsiTheme="minorHAnsi"/>
          <w:sz w:val="24"/>
        </w:rPr>
        <w:t xml:space="preserve"> </w:t>
      </w:r>
      <w:r w:rsidR="00AD7F30">
        <w:rPr>
          <w:rFonts w:asciiTheme="minorHAnsi" w:hAnsiTheme="minorHAnsi"/>
          <w:sz w:val="24"/>
        </w:rPr>
        <w:t>czerwca</w:t>
      </w:r>
      <w:r w:rsidRPr="00B15EEA">
        <w:rPr>
          <w:rFonts w:asciiTheme="minorHAnsi" w:hAnsiTheme="minorHAnsi"/>
          <w:sz w:val="24"/>
        </w:rPr>
        <w:t xml:space="preserve"> 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B7BDD">
        <w:rPr>
          <w:rFonts w:asciiTheme="minorHAnsi" w:hAnsiTheme="minorHAnsi"/>
          <w:sz w:val="24"/>
        </w:rPr>
        <w:t>nr 535835-N-</w:t>
      </w:r>
      <w:bookmarkStart w:id="0" w:name="_GoBack"/>
      <w:bookmarkEnd w:id="0"/>
      <w:r w:rsidRPr="00B15EEA">
        <w:rPr>
          <w:rFonts w:asciiTheme="minorHAnsi" w:hAnsiTheme="minorHAnsi"/>
          <w:sz w:val="24"/>
        </w:rPr>
        <w:t>201</w:t>
      </w:r>
      <w:r w:rsidR="00AF657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AD7F30" w:rsidRPr="007E147D">
        <w:rPr>
          <w:rFonts w:asciiTheme="minorHAnsi" w:hAnsiTheme="minorHAnsi"/>
          <w:b/>
          <w:sz w:val="24"/>
        </w:rPr>
        <w:t xml:space="preserve">sprzętu medycznego jednorazowego użytku, w tym: cewniki, </w:t>
      </w:r>
      <w:r w:rsidR="00AD7F30">
        <w:rPr>
          <w:rFonts w:asciiTheme="minorHAnsi" w:hAnsiTheme="minorHAnsi"/>
          <w:b/>
          <w:sz w:val="24"/>
        </w:rPr>
        <w:t xml:space="preserve">filtry do respiratora, </w:t>
      </w:r>
      <w:r w:rsidR="00AD7F30" w:rsidRPr="007E147D">
        <w:rPr>
          <w:rFonts w:asciiTheme="minorHAnsi" w:hAnsiTheme="minorHAnsi"/>
          <w:b/>
          <w:sz w:val="24"/>
        </w:rPr>
        <w:t>igły,</w:t>
      </w:r>
      <w:r w:rsidR="00AD7F30">
        <w:rPr>
          <w:rFonts w:asciiTheme="minorHAnsi" w:hAnsiTheme="minorHAnsi"/>
          <w:b/>
          <w:sz w:val="24"/>
        </w:rPr>
        <w:t xml:space="preserve"> </w:t>
      </w:r>
      <w:r w:rsidR="00AD7F30" w:rsidRPr="007E147D">
        <w:rPr>
          <w:rFonts w:asciiTheme="minorHAnsi" w:hAnsiTheme="minorHAnsi"/>
          <w:b/>
          <w:sz w:val="24"/>
        </w:rPr>
        <w:t xml:space="preserve">końcówka noża harmonicznego, </w:t>
      </w:r>
      <w:r w:rsidR="00AD7F30">
        <w:rPr>
          <w:rFonts w:asciiTheme="minorHAnsi" w:hAnsiTheme="minorHAnsi"/>
          <w:b/>
          <w:sz w:val="24"/>
        </w:rPr>
        <w:t xml:space="preserve">wyroby do </w:t>
      </w:r>
      <w:proofErr w:type="spellStart"/>
      <w:r w:rsidR="00AD7F30">
        <w:rPr>
          <w:rFonts w:asciiTheme="minorHAnsi" w:hAnsiTheme="minorHAnsi"/>
          <w:b/>
          <w:sz w:val="24"/>
        </w:rPr>
        <w:t>stomii</w:t>
      </w:r>
      <w:proofErr w:type="spellEnd"/>
      <w:r w:rsidR="00AD7F30">
        <w:rPr>
          <w:rFonts w:asciiTheme="minorHAnsi" w:hAnsiTheme="minorHAnsi"/>
          <w:b/>
          <w:sz w:val="24"/>
        </w:rPr>
        <w:t>, wyroby do tlenu, komora wilgotna, osłona oka,</w:t>
      </w:r>
      <w:r w:rsidR="00AD7F30" w:rsidRPr="007E147D">
        <w:rPr>
          <w:rFonts w:asciiTheme="minorHAnsi" w:hAnsiTheme="minorHAnsi"/>
          <w:b/>
          <w:sz w:val="24"/>
        </w:rPr>
        <w:t xml:space="preserve"> i. in</w:t>
      </w:r>
      <w:r w:rsidR="00AD7F30" w:rsidRPr="00E266C4">
        <w:rPr>
          <w:rFonts w:asciiTheme="minorHAnsi" w:eastAsia="Calibri" w:hAnsiTheme="minorHAnsi"/>
          <w:b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</w:t>
      </w:r>
      <w:r w:rsidR="00AD7F30">
        <w:rPr>
          <w:rFonts w:asciiTheme="minorHAnsi" w:hAnsiTheme="minorHAnsi"/>
          <w:sz w:val="24"/>
        </w:rPr>
        <w:t>5</w:t>
      </w:r>
      <w:r w:rsidRPr="00B15EEA">
        <w:rPr>
          <w:rFonts w:asciiTheme="minorHAnsi" w:hAnsiTheme="minorHAnsi"/>
          <w:sz w:val="24"/>
        </w:rPr>
        <w:t>/201</w:t>
      </w:r>
      <w:r w:rsidR="00C279E5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C559D">
      <w:pPr>
        <w:pStyle w:val="ust"/>
        <w:numPr>
          <w:ilvl w:val="0"/>
          <w:numId w:val="38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AF6570" w:rsidRPr="00072704" w:rsidRDefault="00AF6570" w:rsidP="00AF6570">
      <w:pPr>
        <w:pStyle w:val="ust"/>
        <w:ind w:left="720" w:firstLine="0"/>
        <w:rPr>
          <w:rFonts w:asciiTheme="minorHAnsi" w:hAnsiTheme="minorHAnsi"/>
        </w:rPr>
      </w:pPr>
    </w:p>
    <w:p w:rsidR="00AF6570" w:rsidRPr="00072704" w:rsidRDefault="00AF6570" w:rsidP="006C559D">
      <w:pPr>
        <w:pStyle w:val="pkt1"/>
        <w:numPr>
          <w:ilvl w:val="1"/>
          <w:numId w:val="39"/>
        </w:numPr>
        <w:spacing w:before="0" w:after="0"/>
        <w:rPr>
          <w:rFonts w:asciiTheme="minorHAnsi" w:hAnsiTheme="minorHAnsi" w:cs="Times New Roman"/>
          <w:b/>
        </w:rPr>
      </w:pPr>
      <w:r w:rsidRPr="00072704">
        <w:rPr>
          <w:rFonts w:asciiTheme="minorHAnsi" w:hAnsiTheme="minorHAnsi"/>
          <w:b/>
        </w:rPr>
        <w:t>Termin dostawy</w:t>
      </w:r>
      <w:r w:rsidRPr="00072704">
        <w:rPr>
          <w:rFonts w:asciiTheme="minorHAnsi" w:hAnsiTheme="minorHAnsi" w:cs="Times New Roman"/>
        </w:rPr>
        <w:t xml:space="preserve">: </w:t>
      </w:r>
      <w:r w:rsidRPr="00072704">
        <w:rPr>
          <w:rFonts w:asciiTheme="minorHAnsi" w:hAnsiTheme="minorHAnsi" w:cs="Times New Roman"/>
          <w:b/>
        </w:rPr>
        <w:t>…………………. Dni roboczych.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dostawy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niż 1 dzień i nie dłuższy niż </w:t>
      </w:r>
      <w:r w:rsidR="00AD7F30">
        <w:rPr>
          <w:rFonts w:asciiTheme="minorHAnsi" w:hAnsiTheme="minorHAnsi"/>
          <w:b/>
          <w:sz w:val="24"/>
          <w:szCs w:val="24"/>
          <w:u w:val="single"/>
        </w:rPr>
        <w:t>8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 xml:space="preserve"> dni</w:t>
      </w:r>
      <w:r w:rsidRPr="00072704">
        <w:rPr>
          <w:rFonts w:asciiTheme="minorHAnsi" w:hAnsiTheme="minorHAnsi"/>
          <w:b/>
          <w:sz w:val="24"/>
          <w:szCs w:val="24"/>
        </w:rPr>
        <w:t>).</w:t>
      </w:r>
    </w:p>
    <w:p w:rsidR="00AF6570" w:rsidRPr="00072704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AF6570" w:rsidRPr="00072704" w:rsidRDefault="00AF6570" w:rsidP="006C559D">
      <w:pPr>
        <w:pStyle w:val="ust"/>
        <w:numPr>
          <w:ilvl w:val="1"/>
          <w:numId w:val="39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AF6570" w:rsidRPr="00072704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 Oświadczamy, że: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2.5. oferowane wyroby w chwili dostawy będą posiadały trwałość materiałowo-użytkową nie krótszą niż 80% czasu ważności określanego przez wytwórcę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oferowane przez nas wyroby stanowiące przedmiot zamówienia posiadają wszelkie niezbędne atesty i świadectwa rejestracji zgodnie z postanowieniami ustawy z dnia 20 maja 2010 r. o wyrobach medycznych (Dz. U. z 20120 r. Nr 107 poz. 679 z </w:t>
      </w:r>
      <w:proofErr w:type="spellStart"/>
      <w:r w:rsidRPr="00B06E8C">
        <w:rPr>
          <w:rFonts w:asciiTheme="minorHAnsi" w:hAnsiTheme="minorHAnsi"/>
          <w:sz w:val="24"/>
          <w:szCs w:val="24"/>
        </w:rPr>
        <w:t>późn</w:t>
      </w:r>
      <w:proofErr w:type="spellEnd"/>
      <w:r w:rsidRPr="00B06E8C">
        <w:rPr>
          <w:rFonts w:asciiTheme="minorHAnsi" w:hAnsiTheme="minorHAnsi"/>
          <w:sz w:val="24"/>
          <w:szCs w:val="24"/>
        </w:rPr>
        <w:t>. zm.) i zobowiązujemy się do ich przedstawienia na każde żądanie Zamawiającego.</w:t>
      </w:r>
    </w:p>
    <w:p w:rsidR="005F6FD8" w:rsidRPr="005F6FD8" w:rsidRDefault="00AD7F30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2.7</w:t>
      </w:r>
      <w:r w:rsidR="005F6FD8"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C559D">
            <w:pPr>
              <w:pStyle w:val="Akapitzlist"/>
              <w:numPr>
                <w:ilvl w:val="0"/>
                <w:numId w:val="40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AD7F30">
        <w:rPr>
          <w:rFonts w:asciiTheme="minorHAnsi" w:hAnsiTheme="minorHAnsi"/>
          <w:szCs w:val="24"/>
        </w:rPr>
        <w:t>5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CA6749" w:rsidRDefault="00B15EEA" w:rsidP="00B15EEA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CA6749">
        <w:rPr>
          <w:rFonts w:asciiTheme="minorHAnsi" w:hAnsiTheme="minorHAnsi"/>
        </w:rPr>
        <w:t>pn</w:t>
      </w:r>
      <w:proofErr w:type="spellEnd"/>
      <w:r w:rsidR="00B06E8C" w:rsidRPr="00CA6749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CA6749" w:rsidRPr="00CA6749">
        <w:rPr>
          <w:rFonts w:asciiTheme="minorHAnsi" w:hAnsiTheme="minorHAnsi"/>
          <w:b/>
        </w:rPr>
        <w:t xml:space="preserve">sprzętu medycznego jednorazowego użytku, w tym: cewniki, filtry do respiratora, igły, końcówka noża harmonicznego, wyroby do </w:t>
      </w:r>
      <w:proofErr w:type="spellStart"/>
      <w:r w:rsidR="00CA6749" w:rsidRPr="00CA6749">
        <w:rPr>
          <w:rFonts w:asciiTheme="minorHAnsi" w:hAnsiTheme="minorHAnsi"/>
          <w:b/>
        </w:rPr>
        <w:t>stomii</w:t>
      </w:r>
      <w:proofErr w:type="spellEnd"/>
      <w:r w:rsidR="00CA6749" w:rsidRPr="00CA6749">
        <w:rPr>
          <w:rFonts w:asciiTheme="minorHAnsi" w:hAnsiTheme="minorHAnsi"/>
          <w:b/>
        </w:rPr>
        <w:t>, wyroby do tlenu, komora wilgotna, osłona oka, i. in</w:t>
      </w:r>
      <w:r w:rsidR="00CA6749" w:rsidRPr="00CA6749">
        <w:rPr>
          <w:rFonts w:asciiTheme="minorHAnsi" w:eastAsia="Calibri" w:hAnsiTheme="minorHAnsi"/>
          <w:b/>
          <w:lang w:eastAsia="pl-PL"/>
        </w:rPr>
        <w:t>.</w:t>
      </w:r>
      <w:r w:rsidRPr="00CA6749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1169DF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CA6749">
        <w:rPr>
          <w:rFonts w:asciiTheme="minorHAnsi" w:hAnsiTheme="minorHAnsi"/>
          <w:szCs w:val="24"/>
        </w:rPr>
        <w:t>5</w:t>
      </w:r>
      <w:r>
        <w:rPr>
          <w:rFonts w:asciiTheme="minorHAnsi" w:hAnsiTheme="minorHAnsi"/>
          <w:szCs w:val="24"/>
        </w:rPr>
        <w:t>/2017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CA6749" w:rsidRDefault="00B7234B" w:rsidP="00B7234B">
      <w:pPr>
        <w:jc w:val="both"/>
        <w:rPr>
          <w:rFonts w:asciiTheme="minorHAnsi" w:hAnsiTheme="minorHAnsi"/>
        </w:rPr>
      </w:pPr>
      <w:r w:rsidRPr="00CA6749">
        <w:rPr>
          <w:rFonts w:asciiTheme="minorHAnsi" w:hAnsiTheme="minorHAnsi"/>
        </w:rPr>
        <w:t xml:space="preserve">Na potrzeby postępowania o udzielenie zamówienia publicznego pn. </w:t>
      </w:r>
      <w:r w:rsidR="00B06E8C" w:rsidRPr="00CA6749">
        <w:rPr>
          <w:rFonts w:asciiTheme="minorHAnsi" w:eastAsia="Calibri" w:hAnsiTheme="minorHAnsi"/>
          <w:b/>
          <w:lang w:eastAsia="pl-PL"/>
        </w:rPr>
        <w:t xml:space="preserve">Zakup i dostawa </w:t>
      </w:r>
      <w:r w:rsidR="00CA6749" w:rsidRPr="00CA6749">
        <w:rPr>
          <w:rFonts w:asciiTheme="minorHAnsi" w:hAnsiTheme="minorHAnsi"/>
          <w:b/>
        </w:rPr>
        <w:t xml:space="preserve">sprzętu medycznego jednorazowego użytku, w tym: cewniki, filtry do respiratora, igły, końcówka noża harmonicznego, wyroby do </w:t>
      </w:r>
      <w:proofErr w:type="spellStart"/>
      <w:r w:rsidR="00CA6749" w:rsidRPr="00CA6749">
        <w:rPr>
          <w:rFonts w:asciiTheme="minorHAnsi" w:hAnsiTheme="minorHAnsi"/>
          <w:b/>
        </w:rPr>
        <w:t>stomii</w:t>
      </w:r>
      <w:proofErr w:type="spellEnd"/>
      <w:r w:rsidR="00CA6749" w:rsidRPr="00CA6749">
        <w:rPr>
          <w:rFonts w:asciiTheme="minorHAnsi" w:hAnsiTheme="minorHAnsi"/>
          <w:b/>
        </w:rPr>
        <w:t>, wyroby do tlenu, komora wilgotna, osłona oka, i. in</w:t>
      </w:r>
      <w:r w:rsidR="00CA6749" w:rsidRPr="00CA6749">
        <w:rPr>
          <w:rFonts w:asciiTheme="minorHAnsi" w:eastAsia="Calibri" w:hAnsiTheme="minorHAnsi"/>
          <w:b/>
          <w:lang w:eastAsia="pl-PL"/>
        </w:rPr>
        <w:t>.</w:t>
      </w:r>
      <w:r w:rsidRPr="00CA6749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CA6749">
        <w:rPr>
          <w:rFonts w:asciiTheme="minorHAnsi" w:hAnsiTheme="minorHAnsi"/>
          <w:szCs w:val="24"/>
        </w:rPr>
        <w:t>5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CA6749">
        <w:rPr>
          <w:rFonts w:asciiTheme="minorHAnsi" w:hAnsiTheme="minorHAnsi"/>
          <w:szCs w:val="24"/>
        </w:rPr>
        <w:t>5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CA6749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CA6749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CA6749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CA6749">
        <w:rPr>
          <w:rFonts w:asciiTheme="minorHAnsi" w:hAnsiTheme="minorHAnsi"/>
          <w:sz w:val="22"/>
          <w:szCs w:val="22"/>
        </w:rPr>
        <w:t xml:space="preserve">na </w:t>
      </w:r>
      <w:r w:rsidRPr="00CA6749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CA6749" w:rsidRPr="00CA6749">
        <w:rPr>
          <w:rFonts w:asciiTheme="minorHAnsi" w:hAnsiTheme="minorHAnsi"/>
          <w:b/>
          <w:sz w:val="22"/>
          <w:szCs w:val="22"/>
        </w:rPr>
        <w:t xml:space="preserve">sprzętu medycznego jednorazowego użytku, w tym: cewniki, filtry do respiratora, igły, końcówka noża harmonicznego, wyroby do </w:t>
      </w:r>
      <w:proofErr w:type="spellStart"/>
      <w:r w:rsidR="00CA6749" w:rsidRPr="00CA6749">
        <w:rPr>
          <w:rFonts w:asciiTheme="minorHAnsi" w:hAnsiTheme="minorHAnsi"/>
          <w:b/>
          <w:sz w:val="22"/>
          <w:szCs w:val="22"/>
        </w:rPr>
        <w:t>stomii</w:t>
      </w:r>
      <w:proofErr w:type="spellEnd"/>
      <w:r w:rsidR="00CA6749" w:rsidRPr="00CA6749">
        <w:rPr>
          <w:rFonts w:asciiTheme="minorHAnsi" w:hAnsiTheme="minorHAnsi"/>
          <w:b/>
          <w:sz w:val="22"/>
          <w:szCs w:val="22"/>
        </w:rPr>
        <w:t>, wyroby do tlenu, komora wilgotna, osłona oka, i. in</w:t>
      </w:r>
      <w:r w:rsidR="00CA6749" w:rsidRPr="00CA6749">
        <w:rPr>
          <w:rFonts w:asciiTheme="minorHAnsi" w:eastAsia="Calibri" w:hAnsiTheme="minorHAnsi"/>
          <w:b/>
          <w:sz w:val="22"/>
          <w:szCs w:val="22"/>
          <w:lang w:eastAsia="pl-PL"/>
        </w:rPr>
        <w:t>.</w:t>
      </w:r>
      <w:r w:rsidR="00CA6749" w:rsidRPr="00CA6749">
        <w:rPr>
          <w:rFonts w:asciiTheme="minorHAnsi" w:hAnsiTheme="minorHAnsi"/>
          <w:sz w:val="22"/>
          <w:szCs w:val="22"/>
        </w:rPr>
        <w:t xml:space="preserve"> </w:t>
      </w:r>
      <w:r w:rsidR="001169DF" w:rsidRPr="00CA6749">
        <w:rPr>
          <w:rFonts w:asciiTheme="minorHAnsi" w:hAnsiTheme="minorHAnsi"/>
          <w:sz w:val="22"/>
          <w:szCs w:val="22"/>
        </w:rPr>
        <w:t>(0</w:t>
      </w:r>
      <w:r w:rsidR="00CA6749">
        <w:rPr>
          <w:rFonts w:asciiTheme="minorHAnsi" w:hAnsiTheme="minorHAnsi"/>
          <w:sz w:val="22"/>
          <w:szCs w:val="22"/>
        </w:rPr>
        <w:t>5</w:t>
      </w:r>
      <w:r w:rsidRPr="00CA6749">
        <w:rPr>
          <w:rFonts w:asciiTheme="minorHAnsi" w:hAnsiTheme="minorHAnsi"/>
          <w:sz w:val="22"/>
          <w:szCs w:val="22"/>
        </w:rPr>
        <w:t>/201</w:t>
      </w:r>
      <w:r w:rsidR="001169DF" w:rsidRPr="00CA6749">
        <w:rPr>
          <w:rFonts w:asciiTheme="minorHAnsi" w:hAnsiTheme="minorHAnsi"/>
          <w:sz w:val="22"/>
          <w:szCs w:val="22"/>
        </w:rPr>
        <w:t>7</w:t>
      </w:r>
      <w:r w:rsidRPr="00CA6749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 xml:space="preserve">j.t. Dz. U. z 2015 poz. 2164 z </w:t>
      </w:r>
      <w:proofErr w:type="spellStart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późn</w:t>
      </w:r>
      <w:proofErr w:type="spellEnd"/>
      <w:r w:rsidR="00E45C19" w:rsidRPr="00CA6749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 zm.</w:t>
      </w:r>
      <w:r w:rsidRPr="00CA6749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CA6749" w:rsidRPr="00473FAC" w:rsidRDefault="00CA6749" w:rsidP="00CA6749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CA6749" w:rsidRPr="00473FAC" w:rsidRDefault="00CA6749" w:rsidP="00CA6749">
      <w:pPr>
        <w:numPr>
          <w:ilvl w:val="0"/>
          <w:numId w:val="60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CA6749" w:rsidRPr="00473FAC" w:rsidRDefault="00CA6749" w:rsidP="00CA6749">
      <w:pPr>
        <w:numPr>
          <w:ilvl w:val="0"/>
          <w:numId w:val="60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odmowy przyjęcia towaru dostarczonego z opóźnieniem.</w:t>
      </w:r>
    </w:p>
    <w:p w:rsidR="00CA6749" w:rsidRPr="00473FAC" w:rsidRDefault="00CA6749" w:rsidP="00CA6749">
      <w:pPr>
        <w:widowControl/>
        <w:numPr>
          <w:ilvl w:val="0"/>
          <w:numId w:val="53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CA6749" w:rsidRPr="00473FAC" w:rsidRDefault="00CA6749" w:rsidP="00CA6749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A6749" w:rsidRPr="00473FAC" w:rsidRDefault="00CA6749" w:rsidP="00CA6749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CA6749" w:rsidRPr="00DC4311" w:rsidRDefault="00CA6749" w:rsidP="00CA6749">
      <w:pPr>
        <w:widowControl/>
        <w:numPr>
          <w:ilvl w:val="0"/>
          <w:numId w:val="5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CA6749" w:rsidRPr="00473FAC" w:rsidRDefault="00CA6749" w:rsidP="00CA6749">
      <w:pPr>
        <w:pStyle w:val="Tekstpodstawowy2"/>
        <w:numPr>
          <w:ilvl w:val="0"/>
          <w:numId w:val="5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CA6749" w:rsidRPr="00DC4311" w:rsidRDefault="00CA6749" w:rsidP="00CA6749">
      <w:pPr>
        <w:pStyle w:val="Tekstpodstawowy2"/>
        <w:numPr>
          <w:ilvl w:val="0"/>
          <w:numId w:val="5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CA6749" w:rsidRPr="00DC4311" w:rsidRDefault="00CA6749" w:rsidP="00CA6749">
      <w:pPr>
        <w:pStyle w:val="Tekstpodstawowy2"/>
        <w:numPr>
          <w:ilvl w:val="0"/>
          <w:numId w:val="5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CA6749" w:rsidRPr="00473FAC" w:rsidRDefault="00CA6749" w:rsidP="00CA6749">
      <w:pPr>
        <w:widowControl/>
        <w:numPr>
          <w:ilvl w:val="0"/>
          <w:numId w:val="5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CA6749" w:rsidRPr="00473FAC" w:rsidRDefault="00CA6749" w:rsidP="00CA6749">
      <w:pPr>
        <w:widowControl/>
        <w:numPr>
          <w:ilvl w:val="0"/>
          <w:numId w:val="52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CA6749" w:rsidRPr="00473FAC" w:rsidRDefault="00CA6749" w:rsidP="00CA6749">
      <w:pPr>
        <w:widowControl/>
        <w:numPr>
          <w:ilvl w:val="0"/>
          <w:numId w:val="52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CA6749" w:rsidRPr="00473FAC" w:rsidRDefault="00CA6749" w:rsidP="00CA6749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CA6749" w:rsidRPr="00473FAC" w:rsidRDefault="00CA6749" w:rsidP="00CA6749">
      <w:pPr>
        <w:widowControl/>
        <w:numPr>
          <w:ilvl w:val="0"/>
          <w:numId w:val="56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CA6749" w:rsidRPr="00DC4311" w:rsidRDefault="00CA6749" w:rsidP="00CA6749">
      <w:pPr>
        <w:pStyle w:val="Tekstpodstawowywcity2"/>
        <w:widowControl/>
        <w:numPr>
          <w:ilvl w:val="1"/>
          <w:numId w:val="58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CA6749" w:rsidRPr="00DC4311" w:rsidRDefault="00CA6749" w:rsidP="00CA6749">
      <w:pPr>
        <w:pStyle w:val="Tekstpodstawowywcity2"/>
        <w:widowControl/>
        <w:numPr>
          <w:ilvl w:val="1"/>
          <w:numId w:val="58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CA6749" w:rsidRPr="00DC4311" w:rsidRDefault="00CA6749" w:rsidP="00CA6749">
      <w:pPr>
        <w:pStyle w:val="Tekstpodstawowy2"/>
        <w:numPr>
          <w:ilvl w:val="1"/>
          <w:numId w:val="58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CA6749" w:rsidRPr="00DC4311" w:rsidRDefault="00CA6749" w:rsidP="00CA6749">
      <w:pPr>
        <w:pStyle w:val="Tekstpodstawowy2"/>
        <w:numPr>
          <w:ilvl w:val="1"/>
          <w:numId w:val="58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CA6749" w:rsidRPr="00473FAC" w:rsidRDefault="00CA6749" w:rsidP="00CA6749">
      <w:pPr>
        <w:widowControl/>
        <w:numPr>
          <w:ilvl w:val="0"/>
          <w:numId w:val="5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CA6749" w:rsidRPr="00473FAC" w:rsidRDefault="00CA6749" w:rsidP="00CA67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CA6749" w:rsidRPr="00473FAC" w:rsidRDefault="00CA6749" w:rsidP="00CA6749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CA6749" w:rsidRPr="00473FAC" w:rsidRDefault="00CA6749" w:rsidP="00CA6749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CA6749" w:rsidRPr="00473FAC" w:rsidRDefault="00CA6749" w:rsidP="00CA6749">
      <w:pPr>
        <w:widowControl/>
        <w:numPr>
          <w:ilvl w:val="0"/>
          <w:numId w:val="5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CA6749" w:rsidRPr="00473FAC" w:rsidRDefault="00CA6749" w:rsidP="00CA6749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CA6749" w:rsidRPr="00473FAC" w:rsidRDefault="00CA6749" w:rsidP="00CA6749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CA6749" w:rsidRPr="00473FAC" w:rsidRDefault="00CA6749" w:rsidP="00CA6749">
      <w:pPr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CA6749" w:rsidRPr="00473FAC" w:rsidRDefault="00CA6749" w:rsidP="00CA6749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473FAC">
        <w:rPr>
          <w:rFonts w:asciiTheme="minorHAnsi" w:hAnsiTheme="minorHAnsi"/>
          <w:sz w:val="22"/>
          <w:szCs w:val="22"/>
        </w:rPr>
        <w:t>późn</w:t>
      </w:r>
      <w:proofErr w:type="spellEnd"/>
      <w:r w:rsidRPr="00473FAC">
        <w:rPr>
          <w:rFonts w:asciiTheme="minorHAnsi" w:hAnsiTheme="minorHAnsi"/>
          <w:sz w:val="22"/>
          <w:szCs w:val="22"/>
        </w:rPr>
        <w:t>. zm.) oraz Kodeksu Cywilnego.</w:t>
      </w:r>
    </w:p>
    <w:p w:rsidR="00CA6749" w:rsidRPr="00473FAC" w:rsidRDefault="00CA6749" w:rsidP="00CA6749">
      <w:pPr>
        <w:jc w:val="center"/>
        <w:rPr>
          <w:rFonts w:asciiTheme="minorHAnsi" w:hAnsiTheme="minorHAnsi"/>
          <w:sz w:val="22"/>
          <w:szCs w:val="22"/>
        </w:rPr>
      </w:pPr>
    </w:p>
    <w:p w:rsidR="00CA6749" w:rsidRPr="00473FAC" w:rsidRDefault="00CA6749" w:rsidP="00CA6749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CA6749" w:rsidRPr="00473FAC" w:rsidRDefault="00CA6749" w:rsidP="00CA6749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C5" w:rsidRDefault="00BD2CC5">
      <w:r>
        <w:separator/>
      </w:r>
    </w:p>
  </w:endnote>
  <w:endnote w:type="continuationSeparator" w:id="0">
    <w:p w:rsidR="00BD2CC5" w:rsidRDefault="00BD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Default="000A7A4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B7BDD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B7BDD">
      <w:rPr>
        <w:b/>
        <w:noProof/>
      </w:rPr>
      <w:t>22</w:t>
    </w:r>
    <w:r>
      <w:rPr>
        <w:b/>
        <w:sz w:val="24"/>
        <w:szCs w:val="24"/>
      </w:rPr>
      <w:fldChar w:fldCharType="end"/>
    </w:r>
  </w:p>
  <w:p w:rsidR="000A7A4B" w:rsidRDefault="000A7A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FF06CF" w:rsidRDefault="000A7A4B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871C20" w:rsidRDefault="000A7A4B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C5" w:rsidRDefault="00BD2CC5">
      <w:r>
        <w:separator/>
      </w:r>
    </w:p>
  </w:footnote>
  <w:footnote w:type="continuationSeparator" w:id="0">
    <w:p w:rsidR="00BD2CC5" w:rsidRDefault="00BD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Default="000A7A4B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B7234B" w:rsidRDefault="000A7A4B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6938B2" w:rsidRDefault="000A7A4B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4B" w:rsidRPr="00B7234B" w:rsidRDefault="000A7A4B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2B2AAB"/>
    <w:multiLevelType w:val="hybridMultilevel"/>
    <w:tmpl w:val="28C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EE0A6E"/>
    <w:multiLevelType w:val="hybridMultilevel"/>
    <w:tmpl w:val="CC38268C"/>
    <w:lvl w:ilvl="0" w:tplc="F98ACC7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3C52F4F"/>
    <w:multiLevelType w:val="hybridMultilevel"/>
    <w:tmpl w:val="68D649BE"/>
    <w:lvl w:ilvl="0" w:tplc="D9B480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7A70B5D"/>
    <w:multiLevelType w:val="hybridMultilevel"/>
    <w:tmpl w:val="2CAE9562"/>
    <w:lvl w:ilvl="0" w:tplc="488C8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6523E1"/>
    <w:multiLevelType w:val="hybridMultilevel"/>
    <w:tmpl w:val="371EFE1C"/>
    <w:lvl w:ilvl="0" w:tplc="12C46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0C037D"/>
    <w:multiLevelType w:val="hybridMultilevel"/>
    <w:tmpl w:val="068C6A20"/>
    <w:lvl w:ilvl="0" w:tplc="D41A9F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8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BB2BFB"/>
    <w:multiLevelType w:val="hybridMultilevel"/>
    <w:tmpl w:val="C9DA2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7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3D47A61"/>
    <w:multiLevelType w:val="hybridMultilevel"/>
    <w:tmpl w:val="4F62B8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BC1564"/>
    <w:multiLevelType w:val="hybridMultilevel"/>
    <w:tmpl w:val="35CADDD8"/>
    <w:lvl w:ilvl="0" w:tplc="334E85A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0"/>
  </w:num>
  <w:num w:numId="6">
    <w:abstractNumId w:val="55"/>
  </w:num>
  <w:num w:numId="7">
    <w:abstractNumId w:val="25"/>
  </w:num>
  <w:num w:numId="8">
    <w:abstractNumId w:val="50"/>
  </w:num>
  <w:num w:numId="9">
    <w:abstractNumId w:val="53"/>
  </w:num>
  <w:num w:numId="10">
    <w:abstractNumId w:val="70"/>
  </w:num>
  <w:num w:numId="11">
    <w:abstractNumId w:val="40"/>
  </w:num>
  <w:num w:numId="12">
    <w:abstractNumId w:val="29"/>
  </w:num>
  <w:num w:numId="13">
    <w:abstractNumId w:val="64"/>
  </w:num>
  <w:num w:numId="14">
    <w:abstractNumId w:val="49"/>
  </w:num>
  <w:num w:numId="15">
    <w:abstractNumId w:val="71"/>
  </w:num>
  <w:num w:numId="16">
    <w:abstractNumId w:val="23"/>
  </w:num>
  <w:num w:numId="17">
    <w:abstractNumId w:val="41"/>
  </w:num>
  <w:num w:numId="18">
    <w:abstractNumId w:val="39"/>
  </w:num>
  <w:num w:numId="19">
    <w:abstractNumId w:val="61"/>
  </w:num>
  <w:num w:numId="20">
    <w:abstractNumId w:val="22"/>
  </w:num>
  <w:num w:numId="21">
    <w:abstractNumId w:val="21"/>
  </w:num>
  <w:num w:numId="22">
    <w:abstractNumId w:val="35"/>
  </w:num>
  <w:num w:numId="23">
    <w:abstractNumId w:val="58"/>
  </w:num>
  <w:num w:numId="24">
    <w:abstractNumId w:val="36"/>
  </w:num>
  <w:num w:numId="25">
    <w:abstractNumId w:val="65"/>
  </w:num>
  <w:num w:numId="26">
    <w:abstractNumId w:val="38"/>
  </w:num>
  <w:num w:numId="27">
    <w:abstractNumId w:val="5"/>
  </w:num>
  <w:num w:numId="28">
    <w:abstractNumId w:val="34"/>
  </w:num>
  <w:num w:numId="29">
    <w:abstractNumId w:val="33"/>
  </w:num>
  <w:num w:numId="30">
    <w:abstractNumId w:val="26"/>
  </w:num>
  <w:num w:numId="31">
    <w:abstractNumId w:val="57"/>
  </w:num>
  <w:num w:numId="32">
    <w:abstractNumId w:val="45"/>
  </w:num>
  <w:num w:numId="33">
    <w:abstractNumId w:val="24"/>
  </w:num>
  <w:num w:numId="34">
    <w:abstractNumId w:val="17"/>
  </w:num>
  <w:num w:numId="35">
    <w:abstractNumId w:val="51"/>
  </w:num>
  <w:num w:numId="36">
    <w:abstractNumId w:val="31"/>
  </w:num>
  <w:num w:numId="37">
    <w:abstractNumId w:val="27"/>
  </w:num>
  <w:num w:numId="38">
    <w:abstractNumId w:val="56"/>
  </w:num>
  <w:num w:numId="39">
    <w:abstractNumId w:val="20"/>
  </w:num>
  <w:num w:numId="40">
    <w:abstractNumId w:val="32"/>
  </w:num>
  <w:num w:numId="41">
    <w:abstractNumId w:val="67"/>
  </w:num>
  <w:num w:numId="42">
    <w:abstractNumId w:val="62"/>
  </w:num>
  <w:num w:numId="43">
    <w:abstractNumId w:val="69"/>
  </w:num>
  <w:num w:numId="44">
    <w:abstractNumId w:val="43"/>
  </w:num>
  <w:num w:numId="45">
    <w:abstractNumId w:val="28"/>
  </w:num>
  <w:num w:numId="46">
    <w:abstractNumId w:val="42"/>
  </w:num>
  <w:num w:numId="47">
    <w:abstractNumId w:val="19"/>
  </w:num>
  <w:num w:numId="48">
    <w:abstractNumId w:val="63"/>
  </w:num>
  <w:num w:numId="49">
    <w:abstractNumId w:val="44"/>
  </w:num>
  <w:num w:numId="50">
    <w:abstractNumId w:val="60"/>
  </w:num>
  <w:num w:numId="51">
    <w:abstractNumId w:val="47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918A-9A2C-4586-ACE9-C4D0E5F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7789</Words>
  <Characters>46734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54415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3</cp:revision>
  <cp:lastPrinted>2016-09-08T14:39:00Z</cp:lastPrinted>
  <dcterms:created xsi:type="dcterms:W3CDTF">2017-06-27T19:26:00Z</dcterms:created>
  <dcterms:modified xsi:type="dcterms:W3CDTF">2017-06-28T05:49:00Z</dcterms:modified>
</cp:coreProperties>
</file>