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15377">
        <w:rPr>
          <w:rFonts w:asciiTheme="minorHAnsi" w:hAnsiTheme="minorHAnsi"/>
          <w:b/>
          <w:sz w:val="24"/>
          <w:szCs w:val="24"/>
        </w:rPr>
        <w:t>02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D141C">
        <w:rPr>
          <w:rFonts w:asciiTheme="minorHAnsi" w:hAnsiTheme="minorHAnsi"/>
          <w:b/>
          <w:sz w:val="24"/>
          <w:szCs w:val="24"/>
        </w:rPr>
        <w:t>7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>Zakup i dostawa sprzętu medycznego jednorazowego użytku, w tym: zestawy do higieny pacjenta, elektrody, cewniki, dreny, igły,</w:t>
      </w:r>
      <w:r w:rsidR="007E147D">
        <w:rPr>
          <w:rFonts w:asciiTheme="minorHAnsi" w:hAnsiTheme="minorHAnsi"/>
          <w:b/>
          <w:sz w:val="24"/>
          <w:szCs w:val="24"/>
        </w:rPr>
        <w:t xml:space="preserve"> strzykawki, zestawy do </w:t>
      </w:r>
      <w:proofErr w:type="spellStart"/>
      <w:r w:rsidR="007E147D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="007E147D">
        <w:rPr>
          <w:rFonts w:asciiTheme="minorHAnsi" w:hAnsiTheme="minorHAnsi"/>
          <w:b/>
          <w:sz w:val="24"/>
          <w:szCs w:val="24"/>
        </w:rPr>
        <w:t xml:space="preserve">,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zestawy do znieczulania, rurki intubacyjne i </w:t>
      </w:r>
      <w:proofErr w:type="spellStart"/>
      <w:r w:rsidR="007E147D" w:rsidRPr="007E147D">
        <w:rPr>
          <w:rFonts w:asciiTheme="minorHAnsi" w:hAnsiTheme="minorHAnsi"/>
          <w:b/>
          <w:sz w:val="24"/>
          <w:szCs w:val="24"/>
        </w:rPr>
        <w:t>tracheostomijne</w:t>
      </w:r>
      <w:proofErr w:type="spellEnd"/>
      <w:r w:rsidR="007E147D" w:rsidRPr="007E147D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="007E147D" w:rsidRPr="007E147D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="007E147D" w:rsidRPr="007E147D">
        <w:rPr>
          <w:rFonts w:asciiTheme="minorHAnsi" w:hAnsiTheme="minorHAnsi"/>
          <w:b/>
          <w:sz w:val="24"/>
          <w:szCs w:val="24"/>
        </w:rPr>
        <w:t xml:space="preserve"> położniczy, zestaw do infuzji, trokary, fartuchy, serwety, pościel z włókniny, filtry oddechowe, maski, rękawiczki, i. in.</w:t>
      </w:r>
      <w:r w:rsidR="000A219C" w:rsidRPr="007E147D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ED240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wykorzystaniu „procedury odwróconej” (zgodnie z art. 24 aa ustawy). W pierwszej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odniesieniu do wykonawcy, którego oferta została oceniona jako najkorzystniejsza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363B08">
        <w:rPr>
          <w:rFonts w:asciiTheme="minorHAnsi" w:eastAsia="Calibri" w:hAnsiTheme="minorHAnsi"/>
          <w:szCs w:val="24"/>
          <w:lang w:eastAsia="pl-PL"/>
        </w:rPr>
        <w:t>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sprzętu medycznego jednorazowego użytku, w tym: zestawy do higieny pacjenta, elektrody, cewniki, dreny, igły, strzykawki, zestawy do </w:t>
      </w:r>
      <w:proofErr w:type="spellStart"/>
      <w:r w:rsidRPr="0027702A">
        <w:rPr>
          <w:rFonts w:asciiTheme="minorHAnsi" w:hAnsiTheme="minorHAnsi"/>
          <w:b/>
          <w:sz w:val="24"/>
          <w:szCs w:val="24"/>
        </w:rPr>
        <w:t>kaniulacji</w:t>
      </w:r>
      <w:proofErr w:type="spellEnd"/>
      <w:r w:rsidRPr="0027702A">
        <w:rPr>
          <w:rFonts w:asciiTheme="minorHAnsi" w:hAnsiTheme="minorHAnsi"/>
          <w:b/>
          <w:sz w:val="24"/>
          <w:szCs w:val="24"/>
        </w:rPr>
        <w:t xml:space="preserve">, zestawy do znieczulania, rurki intubacyjne i </w:t>
      </w:r>
      <w:proofErr w:type="spellStart"/>
      <w:r w:rsidRPr="0027702A">
        <w:rPr>
          <w:rFonts w:asciiTheme="minorHAnsi" w:hAnsiTheme="minorHAnsi"/>
          <w:b/>
          <w:sz w:val="24"/>
          <w:szCs w:val="24"/>
        </w:rPr>
        <w:t>tracheostomijne</w:t>
      </w:r>
      <w:proofErr w:type="spellEnd"/>
      <w:r w:rsidRPr="0027702A">
        <w:rPr>
          <w:rFonts w:asciiTheme="minorHAnsi" w:hAnsi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Pr="0027702A">
        <w:rPr>
          <w:rFonts w:asciiTheme="minorHAnsi" w:hAnsiTheme="minorHAnsi"/>
          <w:b/>
          <w:sz w:val="24"/>
          <w:szCs w:val="24"/>
        </w:rPr>
        <w:t>próżnociąg</w:t>
      </w:r>
      <w:proofErr w:type="spellEnd"/>
      <w:r w:rsidRPr="0027702A">
        <w:rPr>
          <w:rFonts w:asciiTheme="minorHAnsi" w:hAnsiTheme="minorHAnsi"/>
          <w:b/>
          <w:sz w:val="24"/>
          <w:szCs w:val="24"/>
        </w:rPr>
        <w:t xml:space="preserve"> położniczy, zestaw </w:t>
      </w:r>
      <w:r w:rsidRPr="0027702A">
        <w:rPr>
          <w:rFonts w:asciiTheme="minorHAnsi" w:hAnsiTheme="minorHAnsi"/>
          <w:b/>
          <w:sz w:val="24"/>
          <w:szCs w:val="24"/>
        </w:rPr>
        <w:lastRenderedPageBreak/>
        <w:t>do infuzji, trokary, fartuchy, serwety, pościel z włókniny, filtry oddechowe, maski, rękawiczki, i.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>Kod CPV: 33000000-0, 33100000-1, 33141000-0, 33123210-3, 33123000-8, 33157000-5, 33125000-2, 33141300-3, 33141200-2, 33141640-8, 33141641-5, 33140000-3, 33141323-0, 33141320-9, 33141321-6, 33141220-8, 33141310-6, 33141411-4, 33141100-1, 33141410-7, 33141122-1, 33141600-6, 33141420-0, 33171200-1, 33141116-6, 33155000-1, 33171000-9, 33157800-3, 33157400-9, 33161000-6, 33162000-3, 33168000-5, 33190000-8, 33191100-6, 33198000-4, 33681000-7, 33741100-7, 33692200-9.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Pr="00ED240D">
        <w:rPr>
          <w:rFonts w:asciiTheme="minorHAnsi" w:hAnsiTheme="minorHAnsi"/>
          <w:b/>
          <w:sz w:val="24"/>
          <w:szCs w:val="24"/>
        </w:rPr>
        <w:t>75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2015r., poz.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do posiadania niezbędnych atestów, certyfikatów, kart technicznych i świadectw rejestracji zgodnie z postanowieniami ustawy z dnia 20 maja 2010r. o wyrobach medycznych (Dz. U. z 2015r., </w:t>
      </w:r>
      <w:proofErr w:type="spellStart"/>
      <w:r w:rsidRPr="00ED240D">
        <w:rPr>
          <w:rFonts w:asciiTheme="minorHAnsi" w:hAnsiTheme="minorHAnsi" w:cs="Arial"/>
          <w:szCs w:val="24"/>
        </w:rPr>
        <w:t>poz</w:t>
      </w:r>
      <w:proofErr w:type="spellEnd"/>
      <w:r w:rsidRPr="00ED240D">
        <w:rPr>
          <w:rFonts w:asciiTheme="minorHAnsi" w:hAnsiTheme="minorHAnsi" w:cs="Arial"/>
          <w:szCs w:val="24"/>
        </w:rPr>
        <w:t xml:space="preserve">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ED240D" w:rsidRPr="00ED240D" w:rsidRDefault="00ED240D" w:rsidP="00ED240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lastRenderedPageBreak/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63B08" w:rsidRPr="00557C0E" w:rsidRDefault="00363B08" w:rsidP="00363B08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557C0E">
        <w:rPr>
          <w:rFonts w:asciiTheme="minorHAnsi" w:hAnsiTheme="minorHAnsi"/>
        </w:rPr>
        <w:t>Wymagany termin realizacji zamówienia – sukcesywnie w terminie od 1 do 25 dni roboczych  25 dni roboczych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Pr="00557C0E">
        <w:rPr>
          <w:rFonts w:asciiTheme="minorHAnsi" w:hAnsiTheme="minorHAnsi"/>
        </w:rPr>
        <w:t xml:space="preserve">od </w:t>
      </w:r>
      <w:r w:rsidRPr="00557C0E">
        <w:rPr>
          <w:rFonts w:asciiTheme="minorHAnsi" w:hAnsiTheme="minorHAnsi"/>
          <w:b/>
        </w:rPr>
        <w:t>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92045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FD13A5">
        <w:rPr>
          <w:rFonts w:asciiTheme="minorHAnsi" w:hAnsiTheme="minorHAnsi" w:cs="Calibri"/>
        </w:rPr>
        <w:t>Zamawiający nie wyznacza szczegółowego warunku w tym zakresie;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2 500,00</w:t>
            </w:r>
          </w:p>
        </w:tc>
      </w:tr>
      <w:tr w:rsidR="00F926AA" w:rsidRPr="00A9276E" w:rsidTr="00BA60F9">
        <w:trPr>
          <w:trHeight w:val="85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9 240,00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460,00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33 600,00</w:t>
            </w:r>
          </w:p>
        </w:tc>
      </w:tr>
      <w:tr w:rsidR="00F926AA" w:rsidRPr="00A9276E" w:rsidTr="00BA60F9">
        <w:trPr>
          <w:trHeight w:val="209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14 900,00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52 400,00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3 700,00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22 300,00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30 100,00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5 300,00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11 900,00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1 200,00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8 700,00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2 300,00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9 100,00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20 400,00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20 000,00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38 900,00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6 800,00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9 800,00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29 500,00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lastRenderedPageBreak/>
              <w:t>21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22 800,00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11 400,00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66 800,00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3 300,00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8 800,00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5 400,00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50 200,00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950,00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20 700,00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4 500,00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1 900,00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8 600,00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6 300,00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12 600,00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1 100,00</w:t>
            </w:r>
          </w:p>
        </w:tc>
      </w:tr>
      <w:tr w:rsidR="00F926AA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23 700,00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1 200,00</w:t>
            </w:r>
          </w:p>
        </w:tc>
      </w:tr>
      <w:tr w:rsidR="00F926AA" w:rsidRPr="00A9276E" w:rsidTr="00F926AA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34 000,00</w:t>
            </w:r>
          </w:p>
        </w:tc>
      </w:tr>
      <w:tr w:rsidR="00F926AA" w:rsidRPr="00A9276E" w:rsidTr="00F926AA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1 400,00</w:t>
            </w:r>
          </w:p>
        </w:tc>
      </w:tr>
      <w:tr w:rsidR="00F926AA" w:rsidRPr="00A9276E" w:rsidTr="00F926AA">
        <w:trPr>
          <w:trHeight w:val="228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276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26AA" w:rsidRPr="00A9276E" w:rsidRDefault="00F926AA" w:rsidP="00F926AA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6AA" w:rsidRPr="00A9276E" w:rsidRDefault="00F926AA" w:rsidP="00F926AA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33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</w:t>
      </w:r>
      <w:r w:rsidRPr="00141017">
        <w:rPr>
          <w:rFonts w:asciiTheme="minorHAnsi" w:hAnsiTheme="minorHAnsi"/>
          <w:szCs w:val="24"/>
        </w:rPr>
        <w:lastRenderedPageBreak/>
        <w:t xml:space="preserve">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F734F8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FB6FF9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FB6FF9" w:rsidRPr="00FB6FF9" w:rsidRDefault="00A06074" w:rsidP="00E411FB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wiadczenie, musi by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FB6FF9">
        <w:rPr>
          <w:rFonts w:asciiTheme="minorHAnsi" w:eastAsia="Calibri" w:hAnsiTheme="minorHAnsi"/>
          <w:szCs w:val="24"/>
          <w:lang w:eastAsia="pl-PL"/>
        </w:rPr>
        <w:t>aktualne na dzie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FB6FF9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FB6FF9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FB6FF9">
        <w:rPr>
          <w:rFonts w:asciiTheme="minorHAnsi" w:eastAsia="Calibri" w:hAnsiTheme="minorHAnsi"/>
          <w:szCs w:val="24"/>
          <w:lang w:eastAsia="pl-PL"/>
        </w:rPr>
        <w:t>sporz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lonego w rozporz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FB6FF9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FB6FF9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FB6FF9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 do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FB6FF9" w:rsidRP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</w:t>
      </w: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lastRenderedPageBreak/>
        <w:t xml:space="preserve">opisania ewentualnych środków zaradczych podjętych w ramach tzw. samooczyszczenia.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przypadku wykonawców wspólnie ubiegaj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si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ę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o zamówienie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O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WIADCZENIE tj. „jednolity dokument” zobowi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zany jest doł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 oferty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członek konsorcjum i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FB6FF9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6A6154" w:rsidRPr="00BA60F9" w:rsidRDefault="006A6154" w:rsidP="00E411FB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BA60F9">
        <w:rPr>
          <w:rFonts w:asciiTheme="minorHAnsi" w:hAnsiTheme="minorHAnsi"/>
          <w:b/>
          <w:szCs w:val="24"/>
        </w:rPr>
        <w:t>PEŁNOMOCNICTWO:</w:t>
      </w:r>
    </w:p>
    <w:p w:rsidR="006A6154" w:rsidRPr="00BA60F9" w:rsidRDefault="00B95400" w:rsidP="00B95400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B95400" w:rsidRPr="00BA60F9" w:rsidRDefault="00B95400" w:rsidP="00E411FB">
      <w:pPr>
        <w:pStyle w:val="Akapitzlist"/>
        <w:widowControl/>
        <w:numPr>
          <w:ilvl w:val="0"/>
          <w:numId w:val="22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BA60F9" w:rsidRDefault="00BA60F9" w:rsidP="00E411FB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BA60F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2D4B2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2D4B2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</w:t>
      </w:r>
      <w:r w:rsidR="002D4B2C" w:rsidRPr="002D4B2C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2D4B2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2D4B2C">
        <w:rPr>
          <w:rFonts w:asciiTheme="minorHAnsi" w:hAnsiTheme="minorHAnsi"/>
          <w:sz w:val="24"/>
          <w:szCs w:val="24"/>
        </w:rPr>
        <w:t>wraz</w:t>
      </w:r>
      <w:r w:rsidRPr="002D4B2C">
        <w:rPr>
          <w:rFonts w:asciiTheme="minorHAnsi" w:hAnsiTheme="minorHAnsi" w:cs="Arial"/>
          <w:sz w:val="24"/>
          <w:szCs w:val="24"/>
        </w:rPr>
        <w:t xml:space="preserve"> z </w:t>
      </w:r>
      <w:r w:rsidRPr="002D4B2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2D4B2C">
        <w:rPr>
          <w:rFonts w:asciiTheme="minorHAnsi" w:hAnsiTheme="minorHAnsi"/>
          <w:b/>
          <w:sz w:val="24"/>
          <w:szCs w:val="24"/>
        </w:rPr>
        <w:t>załącznikiem nr 4 do SIWZ</w:t>
      </w:r>
      <w:r w:rsidRPr="002D4B2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2D4B2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BA60F9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lastRenderedPageBreak/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hAnsiTheme="minorHAnsi"/>
          <w:b/>
          <w:szCs w:val="24"/>
        </w:rPr>
        <w:t xml:space="preserve">4. </w:t>
      </w: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Polskiej, zamiast dokumentów, o których mowa w ust. 2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 dokument wskazany w ust. 2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730C9C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363B08" w:rsidRDefault="00700837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rozdziale VI ust. 1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przez wykonawców oświadczenie o przynależności lub braku przynależności do tej samej grupy kapitałowej, o którym mowa w rozdziale VI ust. 3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 w:rsidRPr="003E2D72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3E2D72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Pr="003E2D72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3E2D72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3E2D72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 w:rsidRPr="003E2D72">
        <w:rPr>
          <w:rFonts w:asciiTheme="minorHAnsi" w:eastAsia="Calibri" w:hAnsiTheme="minorHAnsi" w:cs="TimesNewRomanPSMT"/>
          <w:szCs w:val="24"/>
          <w:lang w:eastAsia="pl-PL"/>
        </w:rPr>
        <w:t>łną o</w:t>
      </w:r>
      <w:r w:rsidR="00E705B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3E2D72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526EFF"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 w:rsidRPr="003E2D72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39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65,00</w:t>
            </w:r>
          </w:p>
        </w:tc>
      </w:tr>
      <w:tr w:rsidR="00925E3C" w:rsidRPr="00925E3C" w:rsidTr="00F61B68">
        <w:trPr>
          <w:trHeight w:val="85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890,00</w:t>
            </w:r>
          </w:p>
        </w:tc>
      </w:tr>
      <w:tr w:rsidR="00925E3C" w:rsidRPr="00925E3C" w:rsidTr="00F61B68">
        <w:trPr>
          <w:trHeight w:val="209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390,00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540,00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590,00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795,00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135,00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140,00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130,00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240,00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275,00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525,00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1 025,00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56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180,00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57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260,00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780,00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18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59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1 765,00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230,00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180,00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140,00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1 325,00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545,00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225,00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165,00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335,00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4 085,00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30,00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895,00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35,00</w:t>
            </w:r>
          </w:p>
        </w:tc>
      </w:tr>
      <w:tr w:rsidR="00925E3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25E3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5E3C" w:rsidRPr="00925E3C" w:rsidRDefault="00925E3C" w:rsidP="00925E3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5E3C" w:rsidRPr="00925E3C" w:rsidRDefault="00925E3C" w:rsidP="00925E3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lastRenderedPageBreak/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E411FB">
      <w:pPr>
        <w:numPr>
          <w:ilvl w:val="0"/>
          <w:numId w:val="41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925E3C">
        <w:rPr>
          <w:rFonts w:asciiTheme="minorHAnsi" w:hAnsiTheme="minorHAnsi"/>
          <w:b w:val="0"/>
          <w:bCs/>
        </w:rPr>
        <w:t>Do oferty należy dołączyć: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wiadczenie, o którym mowa w rozdz. VI ust. 1 pkt 1 (jednolity dokument). 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 musi by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(oryginał).</w:t>
      </w:r>
    </w:p>
    <w:p w:rsidR="00D501EA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Pełnomocnictwo, o którym mowa w rozdz. VI ust. 1 pkt 2, 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 lub kopia po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wiadczona za zgodno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ść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 oryginałem przez notariusza</w:t>
      </w:r>
      <w:r w:rsidRPr="00925E3C">
        <w:rPr>
          <w:rFonts w:asciiTheme="minorHAnsi" w:hAnsiTheme="minorHAnsi"/>
          <w:b w:val="0"/>
          <w:bCs/>
          <w:szCs w:val="24"/>
        </w:rPr>
        <w:t>).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bCs/>
          <w:color w:val="000000"/>
          <w:szCs w:val="24"/>
          <w:lang w:eastAsia="pl-PL"/>
        </w:rPr>
        <w:t xml:space="preserve">Zobowiązanie, </w:t>
      </w:r>
      <w:r w:rsidRPr="00925E3C">
        <w:rPr>
          <w:rFonts w:asciiTheme="minorHAnsi" w:eastAsia="Calibri" w:hAnsiTheme="minorHAnsi"/>
          <w:b w:val="0"/>
          <w:color w:val="000000"/>
          <w:szCs w:val="24"/>
          <w:lang w:eastAsia="pl-PL"/>
        </w:rPr>
        <w:t xml:space="preserve">o którym mowa w rozdz. VI ust. 1 pkt. 3). Zobowiązanie musi być złożone w formie pisemnej (oryginał) </w:t>
      </w:r>
      <w:r w:rsidRPr="00925E3C">
        <w:rPr>
          <w:rFonts w:asciiTheme="minorHAnsi" w:eastAsia="Calibri" w:hAnsiTheme="minorHAnsi"/>
          <w:b w:val="0"/>
          <w:i/>
          <w:iCs/>
          <w:color w:val="000000"/>
          <w:szCs w:val="24"/>
          <w:lang w:eastAsia="pl-PL"/>
        </w:rPr>
        <w:t>(jeżeli dotyczy).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 w:rsidR="00925E3C"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Dokumenty sporządzone w języku obcym są składane wraz z tłumaczeniem na język polski.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75195">
        <w:rPr>
          <w:rFonts w:asciiTheme="minorHAnsi" w:hAnsiTheme="minorHAnsi"/>
          <w:szCs w:val="24"/>
        </w:rPr>
        <w:t xml:space="preserve">Zakup i dostawę sprzętu medycznego jednorazowego użytku, w tym: zestawy do higieny pacjenta, elektrody, cewniki, dreny, igły, strzykawki, zestawy do </w:t>
      </w:r>
      <w:proofErr w:type="spellStart"/>
      <w:r w:rsidRPr="00675195">
        <w:rPr>
          <w:rFonts w:asciiTheme="minorHAnsi" w:hAnsiTheme="minorHAnsi"/>
          <w:szCs w:val="24"/>
        </w:rPr>
        <w:t>kaniulacji</w:t>
      </w:r>
      <w:proofErr w:type="spellEnd"/>
      <w:r w:rsidRPr="00675195">
        <w:rPr>
          <w:rFonts w:asciiTheme="minorHAnsi" w:hAnsiTheme="minorHAnsi"/>
          <w:szCs w:val="24"/>
        </w:rPr>
        <w:t xml:space="preserve">, zestawy do znieczulania, rurki intubacyjne i </w:t>
      </w:r>
      <w:proofErr w:type="spellStart"/>
      <w:r w:rsidRPr="00675195">
        <w:rPr>
          <w:rFonts w:asciiTheme="minorHAnsi" w:hAnsiTheme="minorHAnsi"/>
          <w:szCs w:val="24"/>
        </w:rPr>
        <w:t>tracheostomijne</w:t>
      </w:r>
      <w:proofErr w:type="spellEnd"/>
      <w:r w:rsidRPr="00675195">
        <w:rPr>
          <w:rFonts w:asciiTheme="minorHAnsi" w:hAnsiTheme="minorHAnsi"/>
          <w:szCs w:val="24"/>
        </w:rPr>
        <w:t xml:space="preserve">, kaniule, klipy, wzierniki, końcówka noża harmonicznego, </w:t>
      </w:r>
      <w:proofErr w:type="spellStart"/>
      <w:r w:rsidRPr="00675195">
        <w:rPr>
          <w:rFonts w:asciiTheme="minorHAnsi" w:hAnsiTheme="minorHAnsi"/>
          <w:szCs w:val="24"/>
        </w:rPr>
        <w:t>próżnociąg</w:t>
      </w:r>
      <w:proofErr w:type="spellEnd"/>
      <w:r w:rsidRPr="00675195">
        <w:rPr>
          <w:rFonts w:asciiTheme="minorHAnsi" w:hAnsiTheme="minorHAnsi"/>
          <w:szCs w:val="24"/>
        </w:rPr>
        <w:t xml:space="preserve"> położniczy, zestaw do infuzji, trokary, fartuchy, serwety, pościel z włókniny, filtry oddechowe, maski, rękawiczki, i. in.</w:t>
      </w:r>
      <w:r w:rsidRPr="00675195">
        <w:rPr>
          <w:rFonts w:asciiTheme="minorHAnsi" w:eastAsia="Calibri" w:hAnsiTheme="minorHAnsi"/>
          <w:szCs w:val="24"/>
          <w:lang w:eastAsia="pl-PL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 w:rsidRPr="00675195">
        <w:rPr>
          <w:rFonts w:asciiTheme="minorHAnsi" w:hAnsiTheme="minorHAnsi"/>
          <w:szCs w:val="24"/>
        </w:rPr>
        <w:t xml:space="preserve"> – 0</w:t>
      </w:r>
      <w:r w:rsidR="007E147D" w:rsidRPr="00675195">
        <w:rPr>
          <w:rFonts w:asciiTheme="minorHAnsi" w:hAnsiTheme="minorHAnsi"/>
          <w:szCs w:val="24"/>
        </w:rPr>
        <w:t>2</w:t>
      </w:r>
      <w:r w:rsidR="004C101B" w:rsidRPr="00675195">
        <w:rPr>
          <w:rFonts w:asciiTheme="minorHAnsi" w:hAnsiTheme="minorHAnsi"/>
          <w:szCs w:val="24"/>
        </w:rPr>
        <w:t>/2017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3E2D72">
        <w:rPr>
          <w:rFonts w:asciiTheme="minorHAnsi" w:hAnsiTheme="minorHAnsi"/>
          <w:b w:val="0"/>
          <w:szCs w:val="24"/>
        </w:rPr>
        <w:t>iem  24</w:t>
      </w:r>
      <w:r w:rsidR="00233EC4">
        <w:rPr>
          <w:rFonts w:asciiTheme="minorHAnsi" w:hAnsiTheme="minorHAnsi"/>
          <w:b w:val="0"/>
          <w:szCs w:val="24"/>
        </w:rPr>
        <w:t>.0</w:t>
      </w:r>
      <w:r w:rsidR="007E147D">
        <w:rPr>
          <w:rFonts w:asciiTheme="minorHAnsi" w:hAnsiTheme="minorHAnsi"/>
          <w:b w:val="0"/>
          <w:szCs w:val="24"/>
        </w:rPr>
        <w:t>5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EB561F">
        <w:rPr>
          <w:rFonts w:asciiTheme="minorHAnsi" w:hAnsiTheme="minorHAnsi"/>
          <w:b w:val="0"/>
          <w:szCs w:val="24"/>
        </w:rPr>
        <w:t xml:space="preserve">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B561F">
        <w:rPr>
          <w:rFonts w:asciiTheme="minorHAnsi" w:hAnsiTheme="minorHAnsi"/>
          <w:b/>
          <w:szCs w:val="24"/>
        </w:rPr>
        <w:t>24</w:t>
      </w:r>
      <w:r w:rsidRPr="00AB5255">
        <w:rPr>
          <w:rFonts w:asciiTheme="minorHAnsi" w:hAnsiTheme="minorHAnsi"/>
          <w:b/>
          <w:szCs w:val="24"/>
        </w:rPr>
        <w:t>.</w:t>
      </w:r>
      <w:r w:rsidR="006A6288">
        <w:rPr>
          <w:rFonts w:asciiTheme="minorHAnsi" w:hAnsiTheme="minorHAnsi"/>
          <w:b/>
          <w:szCs w:val="24"/>
        </w:rPr>
        <w:t>05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B561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</w:t>
      </w:r>
      <w:r w:rsidRPr="00AB5255">
        <w:rPr>
          <w:rFonts w:asciiTheme="minorHAnsi" w:hAnsiTheme="minorHAnsi"/>
          <w:sz w:val="24"/>
          <w:szCs w:val="24"/>
        </w:rPr>
        <w:lastRenderedPageBreak/>
        <w:t>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B561F">
        <w:rPr>
          <w:rFonts w:asciiTheme="minorHAnsi" w:hAnsiTheme="minorHAnsi"/>
          <w:b/>
          <w:szCs w:val="24"/>
        </w:rPr>
        <w:t>24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6A6288">
        <w:rPr>
          <w:rFonts w:asciiTheme="minorHAnsi" w:hAnsiTheme="minorHAnsi"/>
          <w:b/>
          <w:szCs w:val="24"/>
        </w:rPr>
        <w:t>5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B561F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 xml:space="preserve">Oferta z najniższą ceną brutto otrzyma maksymalną ilość </w:t>
      </w:r>
      <w:r w:rsidRPr="00E25A11">
        <w:rPr>
          <w:rFonts w:asciiTheme="minorHAnsi" w:hAnsiTheme="minorHAnsi"/>
          <w:sz w:val="24"/>
        </w:rPr>
        <w:lastRenderedPageBreak/>
        <w:t>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03887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powyżej 8 dni roboczych (nie więcej niż 20 dni roboczych)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03887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 xml:space="preserve">Za najkorzystniejszą uznana zostanie oferta z najwyższą ilością uzyskanych punktów, </w:t>
      </w:r>
      <w:r w:rsidRPr="00E25A11">
        <w:rPr>
          <w:rFonts w:asciiTheme="minorHAnsi" w:hAnsiTheme="minorHAnsi"/>
          <w:sz w:val="24"/>
        </w:rPr>
        <w:lastRenderedPageBreak/>
        <w:t>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terminie: 5 dni od dnia zamieszczenia ogłoszenia w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CB3AC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3ACC">
        <w:rPr>
          <w:rFonts w:asciiTheme="minorHAnsi" w:hAnsiTheme="minorHAnsi"/>
          <w:sz w:val="24"/>
        </w:rPr>
        <w:t>goszcz, dn. 12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3ACC">
        <w:rPr>
          <w:rFonts w:asciiTheme="minorHAnsi" w:hAnsiTheme="minorHAnsi"/>
          <w:sz w:val="24"/>
        </w:rPr>
        <w:t>kwietnia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E49C9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B3ACC">
        <w:rPr>
          <w:rFonts w:asciiTheme="minorHAnsi" w:hAnsiTheme="minorHAnsi"/>
          <w:szCs w:val="24"/>
        </w:rPr>
        <w:t>2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084C23">
        <w:rPr>
          <w:rFonts w:asciiTheme="minorHAnsi" w:hAnsiTheme="minorHAnsi"/>
          <w:sz w:val="24"/>
        </w:rPr>
        <w:t xml:space="preserve"> 15</w:t>
      </w:r>
      <w:r w:rsidRPr="00072704">
        <w:rPr>
          <w:rFonts w:asciiTheme="minorHAnsi" w:hAnsiTheme="minorHAnsi"/>
          <w:sz w:val="24"/>
        </w:rPr>
        <w:t xml:space="preserve"> </w:t>
      </w:r>
      <w:r w:rsidR="00084C23">
        <w:rPr>
          <w:rFonts w:asciiTheme="minorHAnsi" w:hAnsiTheme="minorHAnsi"/>
          <w:sz w:val="24"/>
        </w:rPr>
        <w:t>kwietnia</w:t>
      </w:r>
      <w:r w:rsidRPr="00072704">
        <w:rPr>
          <w:rFonts w:asciiTheme="minorHAnsi" w:hAnsiTheme="minorHAnsi"/>
          <w:sz w:val="24"/>
        </w:rPr>
        <w:t xml:space="preserve"> 201</w:t>
      </w:r>
      <w:r w:rsidR="00084C23"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Pr="00072704">
        <w:rPr>
          <w:rFonts w:asciiTheme="minorHAnsi" w:hAnsiTheme="minorHAnsi"/>
          <w:bCs/>
          <w:sz w:val="24"/>
        </w:rPr>
        <w:t>201</w:t>
      </w:r>
      <w:r>
        <w:rPr>
          <w:rFonts w:asciiTheme="minorHAnsi" w:hAnsiTheme="minorHAnsi"/>
          <w:bCs/>
          <w:sz w:val="24"/>
        </w:rPr>
        <w:t>7</w:t>
      </w:r>
      <w:r w:rsidRPr="00072704">
        <w:rPr>
          <w:rFonts w:asciiTheme="minorHAnsi" w:hAnsiTheme="minorHAnsi"/>
          <w:bCs/>
          <w:sz w:val="24"/>
        </w:rPr>
        <w:t>/S 0</w:t>
      </w:r>
      <w:r>
        <w:rPr>
          <w:rFonts w:asciiTheme="minorHAnsi" w:hAnsiTheme="minorHAnsi"/>
          <w:bCs/>
          <w:sz w:val="24"/>
        </w:rPr>
        <w:t>75</w:t>
      </w:r>
      <w:r w:rsidRPr="00072704">
        <w:rPr>
          <w:rFonts w:asciiTheme="minorHAnsi" w:hAnsiTheme="minorHAnsi"/>
          <w:bCs/>
          <w:sz w:val="24"/>
        </w:rPr>
        <w:t>-</w:t>
      </w:r>
      <w:r>
        <w:rPr>
          <w:rFonts w:asciiTheme="minorHAnsi" w:hAnsiTheme="minorHAnsi"/>
          <w:bCs/>
          <w:sz w:val="24"/>
        </w:rPr>
        <w:t>144599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Pr="007E147D">
        <w:rPr>
          <w:rFonts w:asciiTheme="minorHAnsi" w:hAnsiTheme="minorHAnsi"/>
          <w:b/>
          <w:sz w:val="24"/>
        </w:rPr>
        <w:t>sprzętu medycznego jednorazowego użytku, w tym: zestawy do higieny pacjenta, elektrody, cewniki, dreny, igły,</w:t>
      </w:r>
      <w:r>
        <w:rPr>
          <w:rFonts w:asciiTheme="minorHAnsi" w:hAnsiTheme="minorHAnsi"/>
          <w:b/>
          <w:sz w:val="24"/>
        </w:rPr>
        <w:t xml:space="preserve"> strzykawki, zestawy do </w:t>
      </w:r>
      <w:proofErr w:type="spellStart"/>
      <w:r>
        <w:rPr>
          <w:rFonts w:asciiTheme="minorHAnsi" w:hAnsiTheme="minorHAnsi"/>
          <w:b/>
          <w:sz w:val="24"/>
        </w:rPr>
        <w:t>kaniulacji</w:t>
      </w:r>
      <w:proofErr w:type="spellEnd"/>
      <w:r>
        <w:rPr>
          <w:rFonts w:asciiTheme="minorHAnsi" w:hAnsiTheme="minorHAnsi"/>
          <w:b/>
          <w:sz w:val="24"/>
        </w:rPr>
        <w:t xml:space="preserve">, </w:t>
      </w:r>
      <w:r w:rsidRPr="007E147D">
        <w:rPr>
          <w:rFonts w:asciiTheme="minorHAnsi" w:hAnsiTheme="minorHAnsi"/>
          <w:b/>
          <w:sz w:val="24"/>
        </w:rPr>
        <w:t xml:space="preserve">zestawy do znieczulania, rurki intubacyjne i </w:t>
      </w:r>
      <w:proofErr w:type="spellStart"/>
      <w:r w:rsidRPr="007E147D">
        <w:rPr>
          <w:rFonts w:asciiTheme="minorHAnsi" w:hAnsiTheme="minorHAnsi"/>
          <w:b/>
          <w:sz w:val="24"/>
        </w:rPr>
        <w:t>tracheostomijne</w:t>
      </w:r>
      <w:proofErr w:type="spellEnd"/>
      <w:r w:rsidRPr="007E147D">
        <w:rPr>
          <w:rFonts w:asciiTheme="minorHAnsi" w:hAnsiTheme="minorHAnsi"/>
          <w:b/>
          <w:sz w:val="24"/>
        </w:rPr>
        <w:t xml:space="preserve">, kaniule, klipy, wzierniki, końcówka noża harmonicznego, </w:t>
      </w:r>
      <w:proofErr w:type="spellStart"/>
      <w:r w:rsidRPr="007E147D">
        <w:rPr>
          <w:rFonts w:asciiTheme="minorHAnsi" w:hAnsiTheme="minorHAnsi"/>
          <w:b/>
          <w:sz w:val="24"/>
        </w:rPr>
        <w:t>próżnociąg</w:t>
      </w:r>
      <w:proofErr w:type="spellEnd"/>
      <w:r w:rsidRPr="007E147D">
        <w:rPr>
          <w:rFonts w:asciiTheme="minorHAnsi" w:hAnsiTheme="minorHAnsi"/>
          <w:b/>
          <w:sz w:val="24"/>
        </w:rPr>
        <w:t xml:space="preserve"> położniczy, zestaw do infuzji, trokary, fartuchy, serwety, pościel z włókniny, filtry oddechowe, maski, rękawiczki, i. in.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Pr="00072704">
        <w:rPr>
          <w:rFonts w:asciiTheme="minorHAnsi" w:hAnsiTheme="minorHAnsi"/>
          <w:sz w:val="24"/>
        </w:rPr>
        <w:t>– nr postępowania 0</w:t>
      </w:r>
      <w:r>
        <w:rPr>
          <w:rFonts w:asciiTheme="minorHAnsi" w:hAnsiTheme="minorHAnsi"/>
          <w:sz w:val="24"/>
        </w:rPr>
        <w:t>2</w:t>
      </w:r>
      <w:r w:rsidRPr="00072704">
        <w:rPr>
          <w:rFonts w:asciiTheme="minorHAnsi" w:hAnsiTheme="minorHAnsi"/>
          <w:sz w:val="24"/>
        </w:rPr>
        <w:t>/201</w:t>
      </w:r>
      <w:r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670F3C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670F3C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670F3C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670F3C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670F3C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670F3C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670F3C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670F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>(Zamawiający informuje, że dopuszcz</w:t>
      </w:r>
      <w:r w:rsidRPr="00072704">
        <w:rPr>
          <w:rFonts w:asciiTheme="minorHAnsi" w:hAnsiTheme="minorHAnsi"/>
          <w:b/>
          <w:sz w:val="24"/>
          <w:szCs w:val="24"/>
        </w:rPr>
        <w:t>alny termin dostawy</w:t>
      </w:r>
      <w:r w:rsidRPr="00072704">
        <w:rPr>
          <w:rFonts w:asciiTheme="minorHAnsi" w:hAnsiTheme="minorHAnsi"/>
          <w:b/>
          <w:sz w:val="24"/>
          <w:szCs w:val="24"/>
        </w:rPr>
        <w:t xml:space="preserve">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1 dzień i nie dłuższy niż 25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 dni</w:t>
      </w:r>
      <w:r w:rsidRPr="00072704">
        <w:rPr>
          <w:rFonts w:asciiTheme="minorHAnsi" w:hAnsiTheme="minorHAnsi"/>
          <w:b/>
          <w:sz w:val="24"/>
          <w:szCs w:val="24"/>
        </w:rPr>
        <w:t>)</w:t>
      </w:r>
      <w:r w:rsidRPr="00072704">
        <w:rPr>
          <w:rFonts w:asciiTheme="minorHAnsi" w:hAnsiTheme="minorHAnsi"/>
          <w:b/>
          <w:sz w:val="24"/>
          <w:szCs w:val="24"/>
        </w:rPr>
        <w:t>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lastRenderedPageBreak/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9782C" w:rsidRPr="0029782C" w:rsidRDefault="0029782C" w:rsidP="00E411FB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  <w:r w:rsidRPr="0029782C">
        <w:rPr>
          <w:rFonts w:ascii="Calibri" w:hAnsi="Calibri" w:cs="Arial"/>
          <w:sz w:val="22"/>
          <w:szCs w:val="22"/>
        </w:rPr>
        <w:t>zapoznaliśmy się z warunkami przeprowadzanego postępowania i nie wnosimy do nich zastrzeżeń oraz posiadamy wszystkie niezbędne informacje do przygotowania oferty,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cena oferty zawiera wszystkie koszty niezbędne do wykonania zamówienia,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uważamy się za związanych niniejszą ofertą przez okres 60 dni od upływu terminu składania ofert,</w:t>
      </w:r>
    </w:p>
    <w:p w:rsidR="0029782C" w:rsidRPr="00622BB6" w:rsidRDefault="0029782C" w:rsidP="00E411FB">
      <w:pPr>
        <w:widowControl/>
        <w:numPr>
          <w:ilvl w:val="1"/>
          <w:numId w:val="43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akceptujemy główne postanowienia umowy nie wnosząc uwag i zastrzeżeń, a w przypadku wyboru naszej oferty zobowiązujemy się do jej/ich zawarcia w stosownych terminach,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E0985">
        <w:rPr>
          <w:rFonts w:ascii="Calibri" w:hAnsi="Calibri" w:cs="Arial"/>
          <w:sz w:val="22"/>
          <w:szCs w:val="22"/>
        </w:rPr>
        <w:t xml:space="preserve">oferowane przez nas wyroby będą fabrycznie nowe oraz w chwili dostawy będą posiadały trwałość materiałowo-użytkową nie krótszą niż </w:t>
      </w:r>
      <w:r w:rsidR="00473FAC">
        <w:rPr>
          <w:rFonts w:ascii="Calibri" w:hAnsi="Calibri" w:cs="Arial"/>
          <w:sz w:val="22"/>
          <w:szCs w:val="22"/>
        </w:rPr>
        <w:t>8</w:t>
      </w:r>
      <w:r w:rsidRPr="006E0985">
        <w:rPr>
          <w:rFonts w:ascii="Calibri" w:hAnsi="Calibri" w:cs="Arial"/>
          <w:sz w:val="22"/>
          <w:szCs w:val="22"/>
        </w:rPr>
        <w:t xml:space="preserve">0% czasu ważności określanego przez </w:t>
      </w:r>
      <w:r w:rsidRPr="00B06D97">
        <w:rPr>
          <w:rFonts w:ascii="Calibri" w:hAnsi="Calibri" w:cs="Arial"/>
          <w:sz w:val="22"/>
          <w:szCs w:val="22"/>
        </w:rPr>
        <w:t>wytwórcę,</w:t>
      </w:r>
    </w:p>
    <w:p w:rsidR="0029782C" w:rsidRPr="00B06D97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B06D97">
        <w:rPr>
          <w:rFonts w:ascii="Calibri" w:hAnsi="Calibri" w:cs="Arial"/>
          <w:sz w:val="22"/>
          <w:szCs w:val="22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(Dz.U. z 2015 poz. 876 z </w:t>
      </w:r>
      <w:proofErr w:type="spellStart"/>
      <w:r w:rsidRPr="00B06D97">
        <w:rPr>
          <w:rFonts w:ascii="Calibri" w:hAnsi="Calibri" w:cs="Arial"/>
          <w:sz w:val="22"/>
          <w:szCs w:val="22"/>
        </w:rPr>
        <w:t>późn</w:t>
      </w:r>
      <w:proofErr w:type="spellEnd"/>
      <w:r w:rsidRPr="00B06D97">
        <w:rPr>
          <w:rFonts w:ascii="Calibri" w:hAnsi="Calibri" w:cs="Arial"/>
          <w:sz w:val="22"/>
          <w:szCs w:val="22"/>
        </w:rPr>
        <w:t xml:space="preserve">. zm.). 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670F3C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670F3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670F3C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670F3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670F3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670F3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670F3C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670F3C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670F3C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473FAC">
        <w:rPr>
          <w:rFonts w:asciiTheme="minorHAnsi" w:hAnsiTheme="minorHAnsi"/>
          <w:szCs w:val="24"/>
        </w:rPr>
        <w:t>2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670F3C">
        <w:tc>
          <w:tcPr>
            <w:tcW w:w="475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670F3C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670F3C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670F3C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670F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670F3C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18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Pr="007A14E8" w:rsidRDefault="00473FAC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473FAC">
        <w:rPr>
          <w:rFonts w:asciiTheme="minorHAnsi" w:hAnsiTheme="minorHAnsi"/>
          <w:szCs w:val="24"/>
        </w:rPr>
        <w:t>2</w:t>
      </w:r>
      <w:r w:rsidRPr="007A14E8">
        <w:rPr>
          <w:rFonts w:asciiTheme="minorHAnsi" w:hAnsiTheme="minorHAnsi"/>
          <w:szCs w:val="24"/>
        </w:rPr>
        <w:t>/201</w:t>
      </w:r>
      <w:r w:rsidR="00AA54E5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473FAC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473FAC">
        <w:rPr>
          <w:rFonts w:asciiTheme="minorHAnsi" w:hAnsiTheme="minorHAnsi"/>
          <w:sz w:val="22"/>
          <w:szCs w:val="22"/>
        </w:rPr>
        <w:t xml:space="preserve">na </w:t>
      </w:r>
      <w:r w:rsidRPr="00473FAC">
        <w:rPr>
          <w:rFonts w:asciiTheme="minorHAnsi" w:hAnsiTheme="minorHAnsi"/>
          <w:b/>
          <w:sz w:val="22"/>
          <w:szCs w:val="22"/>
        </w:rPr>
        <w:t xml:space="preserve">Zakup i dostawę sprzętu medycznego jednorazowego użytku, w tym: zestawy do higieny pacjenta, elektrody, cewniki, dreny, igły, strzykawki, zestawy do </w:t>
      </w:r>
      <w:proofErr w:type="spellStart"/>
      <w:r w:rsidRPr="00473FAC">
        <w:rPr>
          <w:rFonts w:asciiTheme="minorHAnsi" w:hAnsiTheme="minorHAnsi"/>
          <w:b/>
          <w:sz w:val="22"/>
          <w:szCs w:val="22"/>
        </w:rPr>
        <w:t>kaniulacji</w:t>
      </w:r>
      <w:proofErr w:type="spellEnd"/>
      <w:r w:rsidRPr="00473FAC">
        <w:rPr>
          <w:rFonts w:asciiTheme="minorHAnsi" w:hAnsiTheme="minorHAnsi"/>
          <w:b/>
          <w:sz w:val="22"/>
          <w:szCs w:val="22"/>
        </w:rPr>
        <w:t xml:space="preserve">, zestawy do znieczulania, rurki intubacyjne i </w:t>
      </w:r>
      <w:proofErr w:type="spellStart"/>
      <w:r w:rsidRPr="00473FAC">
        <w:rPr>
          <w:rFonts w:asciiTheme="minorHAnsi" w:hAnsiTheme="minorHAnsi"/>
          <w:b/>
          <w:sz w:val="22"/>
          <w:szCs w:val="22"/>
        </w:rPr>
        <w:t>tracheostomijne</w:t>
      </w:r>
      <w:proofErr w:type="spellEnd"/>
      <w:r w:rsidRPr="00473FAC">
        <w:rPr>
          <w:rFonts w:asciiTheme="minorHAnsi" w:hAnsiTheme="minorHAnsi"/>
          <w:b/>
          <w:sz w:val="22"/>
          <w:szCs w:val="22"/>
        </w:rPr>
        <w:t xml:space="preserve">, kaniule, klipy, wzierniki, końcówka noża harmonicznego, </w:t>
      </w:r>
      <w:proofErr w:type="spellStart"/>
      <w:r w:rsidRPr="00473FAC">
        <w:rPr>
          <w:rFonts w:asciiTheme="minorHAnsi" w:hAnsiTheme="minorHAnsi"/>
          <w:b/>
          <w:sz w:val="22"/>
          <w:szCs w:val="22"/>
        </w:rPr>
        <w:t>próżnociąg</w:t>
      </w:r>
      <w:proofErr w:type="spellEnd"/>
      <w:r w:rsidRPr="00473FAC">
        <w:rPr>
          <w:rFonts w:asciiTheme="minorHAnsi" w:hAnsiTheme="minorHAnsi"/>
          <w:b/>
          <w:sz w:val="22"/>
          <w:szCs w:val="22"/>
        </w:rPr>
        <w:t xml:space="preserve"> położniczy, zestaw do infuzji, trokary, fartuchy, serwety, pościel z włókniny, filtry oddechowe, maski, rękawiczki, i. in.</w:t>
      </w:r>
      <w:r w:rsidRPr="00473FAC">
        <w:rPr>
          <w:rFonts w:asciiTheme="minorHAnsi" w:hAnsiTheme="minorHAnsi"/>
          <w:sz w:val="22"/>
          <w:szCs w:val="22"/>
        </w:rPr>
        <w:t xml:space="preserve"> (0</w:t>
      </w:r>
      <w:r w:rsidRPr="00473FAC">
        <w:rPr>
          <w:rFonts w:asciiTheme="minorHAnsi" w:hAnsiTheme="minorHAnsi"/>
          <w:sz w:val="22"/>
          <w:szCs w:val="22"/>
        </w:rPr>
        <w:t>2</w:t>
      </w:r>
      <w:r w:rsidRPr="00473FAC">
        <w:rPr>
          <w:rFonts w:asciiTheme="minorHAnsi" w:hAnsiTheme="minorHAnsi"/>
          <w:sz w:val="22"/>
          <w:szCs w:val="22"/>
        </w:rPr>
        <w:t>/201</w:t>
      </w:r>
      <w:r w:rsidRPr="00473FAC">
        <w:rPr>
          <w:rFonts w:asciiTheme="minorHAnsi" w:hAnsiTheme="minorHAnsi"/>
          <w:sz w:val="22"/>
          <w:szCs w:val="22"/>
        </w:rPr>
        <w:t>7</w:t>
      </w:r>
      <w:r w:rsidRPr="00473FAC">
        <w:rPr>
          <w:rFonts w:asciiTheme="minorHAnsi" w:hAnsiTheme="minorHAnsi"/>
          <w:sz w:val="22"/>
          <w:szCs w:val="22"/>
        </w:rPr>
        <w:t xml:space="preserve">) w trybie przetargu nieograniczonego, na podstawie art. 39 ustawy z dnia 29/01/2004r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zm.), Strony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 xml:space="preserve">Terminy dostaw będą wyznaczane każdorazowo przez Zamawiającego w zależności od okoliczności, o których mowa w ust. 1. Maksymalny czas realizacji zamówienia nie może 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 xml:space="preserve">Strony postanawiają, iż niezależnie od prawa do żądania zapłaty kary umownej na podstawie paragrafu 5 umowy, Wykonawca w </w:t>
      </w:r>
      <w:r w:rsidRPr="00DC4311">
        <w:rPr>
          <w:rFonts w:ascii="Calibri" w:hAnsi="Calibri" w:cs="Calibri"/>
          <w:sz w:val="22"/>
          <w:szCs w:val="22"/>
        </w:rPr>
        <w:t>przypadku określonym w ustępie 9</w:t>
      </w:r>
      <w:r w:rsidRPr="00DC4311">
        <w:rPr>
          <w:rFonts w:ascii="Calibri" w:hAnsi="Calibri" w:cs="Calibri"/>
          <w:sz w:val="22"/>
          <w:szCs w:val="22"/>
        </w:rPr>
        <w:t xml:space="preserve">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>ściach opisanych w ust. 1 lit. c</w:t>
      </w:r>
      <w:bookmarkStart w:id="0" w:name="_GoBack"/>
      <w:bookmarkEnd w:id="0"/>
      <w:r w:rsidR="00DC4311">
        <w:rPr>
          <w:rFonts w:asciiTheme="minorHAnsi" w:hAnsiTheme="minorHAnsi"/>
          <w:sz w:val="22"/>
          <w:szCs w:val="22"/>
        </w:rPr>
        <w:t xml:space="preserve">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FB" w:rsidRDefault="00E411FB">
      <w:r>
        <w:separator/>
      </w:r>
    </w:p>
  </w:endnote>
  <w:endnote w:type="continuationSeparator" w:id="0">
    <w:p w:rsidR="00E411FB" w:rsidRDefault="00E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Default="00ED240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69EC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69EC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Default="00ED240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69EC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69EC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Pr="00FF06CF" w:rsidRDefault="00ED240D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Default="00ED240D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A69EC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A69EC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FB" w:rsidRDefault="00E411FB">
      <w:r>
        <w:separator/>
      </w:r>
    </w:p>
  </w:footnote>
  <w:footnote w:type="continuationSeparator" w:id="0">
    <w:p w:rsidR="00E411FB" w:rsidRDefault="00E4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Default="00ED240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Pr="006938B2" w:rsidRDefault="00ED240D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D" w:rsidRPr="00B7234B" w:rsidRDefault="00ED240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8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3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4"/>
  </w:num>
  <w:num w:numId="7">
    <w:abstractNumId w:val="26"/>
  </w:num>
  <w:num w:numId="8">
    <w:abstractNumId w:val="50"/>
  </w:num>
  <w:num w:numId="9">
    <w:abstractNumId w:val="52"/>
  </w:num>
  <w:num w:numId="10">
    <w:abstractNumId w:val="62"/>
  </w:num>
  <w:num w:numId="11">
    <w:abstractNumId w:val="43"/>
  </w:num>
  <w:num w:numId="12">
    <w:abstractNumId w:val="30"/>
  </w:num>
  <w:num w:numId="13">
    <w:abstractNumId w:val="59"/>
  </w:num>
  <w:num w:numId="14">
    <w:abstractNumId w:val="49"/>
  </w:num>
  <w:num w:numId="15">
    <w:abstractNumId w:val="63"/>
  </w:num>
  <w:num w:numId="16">
    <w:abstractNumId w:val="24"/>
  </w:num>
  <w:num w:numId="17">
    <w:abstractNumId w:val="44"/>
  </w:num>
  <w:num w:numId="18">
    <w:abstractNumId w:val="42"/>
  </w:num>
  <w:num w:numId="19">
    <w:abstractNumId w:val="21"/>
  </w:num>
  <w:num w:numId="20">
    <w:abstractNumId w:val="39"/>
  </w:num>
  <w:num w:numId="21">
    <w:abstractNumId w:val="56"/>
  </w:num>
  <w:num w:numId="22">
    <w:abstractNumId w:val="40"/>
  </w:num>
  <w:num w:numId="23">
    <w:abstractNumId w:val="5"/>
  </w:num>
  <w:num w:numId="24">
    <w:abstractNumId w:val="38"/>
  </w:num>
  <w:num w:numId="25">
    <w:abstractNumId w:val="35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5"/>
  </w:num>
  <w:num w:numId="30">
    <w:abstractNumId w:val="20"/>
  </w:num>
  <w:num w:numId="31">
    <w:abstractNumId w:val="45"/>
  </w:num>
  <w:num w:numId="32">
    <w:abstractNumId w:val="29"/>
  </w:num>
  <w:num w:numId="33">
    <w:abstractNumId w:val="58"/>
  </w:num>
  <w:num w:numId="34">
    <w:abstractNumId w:val="32"/>
  </w:num>
  <w:num w:numId="35">
    <w:abstractNumId w:val="19"/>
  </w:num>
  <w:num w:numId="36">
    <w:abstractNumId w:val="33"/>
  </w:num>
  <w:num w:numId="37">
    <w:abstractNumId w:val="27"/>
  </w:num>
  <w:num w:numId="38">
    <w:abstractNumId w:val="36"/>
  </w:num>
  <w:num w:numId="39">
    <w:abstractNumId w:val="23"/>
  </w:num>
  <w:num w:numId="40">
    <w:abstractNumId w:val="37"/>
  </w:num>
  <w:num w:numId="41">
    <w:abstractNumId w:val="22"/>
  </w:num>
  <w:num w:numId="42">
    <w:abstractNumId w:val="34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4069-AFB4-45BF-8FB6-DDDD8FB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27</Pages>
  <Words>9250</Words>
  <Characters>55505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64626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26</cp:revision>
  <cp:lastPrinted>2017-01-18T10:08:00Z</cp:lastPrinted>
  <dcterms:created xsi:type="dcterms:W3CDTF">2016-12-29T16:41:00Z</dcterms:created>
  <dcterms:modified xsi:type="dcterms:W3CDTF">2017-04-20T07:32:00Z</dcterms:modified>
</cp:coreProperties>
</file>