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9A4B86">
        <w:rPr>
          <w:rFonts w:asciiTheme="minorHAnsi" w:hAnsiTheme="minorHAnsi"/>
          <w:b/>
          <w:sz w:val="24"/>
          <w:szCs w:val="24"/>
        </w:rPr>
        <w:t>20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93267B" w:rsidRPr="00E25A11">
        <w:rPr>
          <w:rFonts w:asciiTheme="minorHAnsi" w:hAnsiTheme="minorHAnsi"/>
          <w:b/>
          <w:sz w:val="24"/>
          <w:szCs w:val="24"/>
        </w:rPr>
        <w:t>6</w:t>
      </w:r>
    </w:p>
    <w:p w:rsidR="0045431A" w:rsidRPr="00E25A11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E25A11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Nazwa: 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Zakup i dostawa stymu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latorów jednojamowych, dwujamowy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ch, elek</w:t>
      </w:r>
      <w:r w:rsidR="007B51F6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trod do stymulatorów  oraz</w:t>
      </w:r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 xml:space="preserve"> </w:t>
      </w:r>
      <w:proofErr w:type="spellStart"/>
      <w:r w:rsidR="0048544D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introducerów</w:t>
      </w:r>
      <w:proofErr w:type="spellEnd"/>
      <w:r w:rsidR="000A219C" w:rsidRPr="00E25A11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SP WZOZ MSW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31742A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436290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044111" w:rsidRPr="00E25A11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577E7A" w:rsidRPr="00E25A11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:rsidR="007B51F6" w:rsidRPr="00E25A11" w:rsidRDefault="007B51F6" w:rsidP="00D12F01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Przedmiotem postępowania jest </w:t>
      </w:r>
      <w:r w:rsidRPr="00E25A11">
        <w:rPr>
          <w:rFonts w:asciiTheme="minorHAnsi" w:hAnsiTheme="minorHAnsi"/>
          <w:b/>
          <w:sz w:val="24"/>
          <w:szCs w:val="24"/>
        </w:rPr>
        <w:t xml:space="preserve">zakup i dostawa stymulatorów jednojamowych, dwujamowych, elektrod do stymulatorów oraz </w:t>
      </w:r>
      <w:proofErr w:type="spellStart"/>
      <w:r w:rsidRPr="00E25A11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E25A11">
        <w:rPr>
          <w:rFonts w:asciiTheme="minorHAnsi" w:hAnsiTheme="minorHAnsi"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sz w:val="24"/>
          <w:szCs w:val="24"/>
        </w:rPr>
        <w:t>.</w:t>
      </w:r>
    </w:p>
    <w:p w:rsidR="007B51F6" w:rsidRPr="00E25A11" w:rsidRDefault="007B51F6" w:rsidP="007B51F6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Kod CPV: 33158210-7.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Przedmiot zamówienia obejmuje </w:t>
      </w:r>
      <w:r w:rsidRPr="00E25A11">
        <w:rPr>
          <w:rFonts w:asciiTheme="minorHAnsi" w:hAnsiTheme="minorHAnsi"/>
          <w:b/>
          <w:szCs w:val="24"/>
        </w:rPr>
        <w:t>2 niepodzielne pakiety,</w:t>
      </w:r>
      <w:r w:rsidRPr="00E25A11">
        <w:rPr>
          <w:rFonts w:asciiTheme="minorHAnsi" w:hAnsiTheme="minorHAnsi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="001E7381" w:rsidRPr="00E25A11">
        <w:rPr>
          <w:rFonts w:asciiTheme="minorHAnsi" w:hAnsiTheme="minorHAnsi"/>
          <w:szCs w:val="24"/>
        </w:rPr>
        <w:t>siwz</w:t>
      </w:r>
      <w:proofErr w:type="spellEnd"/>
      <w:r w:rsidR="001E7381" w:rsidRPr="00E25A11">
        <w:rPr>
          <w:rFonts w:asciiTheme="minorHAnsi" w:hAnsiTheme="minorHAnsi"/>
          <w:szCs w:val="24"/>
        </w:rPr>
        <w:t>, jak i wymagania zawarte w 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Oferowany sprzęt stanowiący przedmiot zamówienia winien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20 maja 2010 r. o wyrobach medycznych (Dz. U. z 2010 r. Nr 107 poz. 679 ze zm.).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lastRenderedPageBreak/>
        <w:t>Wykonawca w ramach dostaw stymulatorów zobowiązany jest dostarczać również papier do drukarki programatora (2 ryzy x miesiąc).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Wykonawca w ramach wykonania przedmiotu zamówienia zobowiązany jest dostarczyć programator do programowania stymulatorów serca– na czas nieokreślony.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tabs>
          <w:tab w:val="clear" w:pos="360"/>
        </w:tabs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Wykonawca w ramach umowy zobowiązany jest do szkolenia personelu w zakresie elektrostymulacji serca.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Termin ważności dostarczanych wyrobów nie może być krótszy niż 12 miesięcy licząc od dnia dokonanej dostawy.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E25A11">
        <w:rPr>
          <w:rFonts w:asciiTheme="minorHAnsi" w:hAnsiTheme="minorHAnsi"/>
          <w:szCs w:val="24"/>
        </w:rPr>
        <w:t>siwz</w:t>
      </w:r>
      <w:proofErr w:type="spellEnd"/>
      <w:r w:rsidRPr="00E25A11">
        <w:rPr>
          <w:rFonts w:asciiTheme="minorHAnsi" w:hAnsiTheme="minorHAnsi"/>
          <w:szCs w:val="24"/>
        </w:rPr>
        <w:t xml:space="preserve"> numerów katalogowych, nazwy oraz producenta zaoferowanego sprzętu.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E25A11" w:rsidRDefault="007B51F6" w:rsidP="00D12F01">
      <w:pPr>
        <w:pStyle w:val="Tekstpodstawowy21"/>
        <w:widowControl/>
        <w:numPr>
          <w:ilvl w:val="1"/>
          <w:numId w:val="21"/>
        </w:numPr>
        <w:suppressAutoHyphens w:val="0"/>
        <w:autoSpaceDN w:val="0"/>
        <w:adjustRightInd w:val="0"/>
        <w:ind w:left="420" w:hanging="420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:rsidR="007B51F6" w:rsidRPr="007B51F6" w:rsidRDefault="007B51F6" w:rsidP="007B51F6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B51F6">
        <w:rPr>
          <w:rFonts w:asciiTheme="minorHAnsi" w:hAnsiTheme="minorHAnsi"/>
          <w:sz w:val="24"/>
        </w:rPr>
        <w:t>Wymagany termin realizacji zamówienia – sukcesywnie w terminie do 3 dni</w:t>
      </w:r>
      <w:r w:rsidR="00957B6E">
        <w:rPr>
          <w:rFonts w:asciiTheme="minorHAnsi" w:hAnsiTheme="minorHAnsi"/>
          <w:sz w:val="24"/>
        </w:rPr>
        <w:t xml:space="preserve"> roboczych</w:t>
      </w:r>
      <w:r w:rsidRPr="007B51F6">
        <w:rPr>
          <w:rFonts w:asciiTheme="minorHAnsi" w:hAnsiTheme="minorHAnsi"/>
          <w:sz w:val="24"/>
        </w:rPr>
        <w:t xml:space="preserve"> od złożenia zamówienia</w:t>
      </w:r>
      <w:r w:rsidRPr="007B51F6">
        <w:rPr>
          <w:rFonts w:asciiTheme="minorHAnsi" w:hAnsiTheme="minorHAnsi"/>
          <w:b/>
          <w:sz w:val="24"/>
        </w:rPr>
        <w:t xml:space="preserve"> </w:t>
      </w:r>
      <w:r w:rsidRPr="007B51F6">
        <w:rPr>
          <w:rFonts w:asciiTheme="minorHAnsi" w:hAnsiTheme="minorHAnsi"/>
          <w:sz w:val="24"/>
        </w:rPr>
        <w:t xml:space="preserve">w okresie </w:t>
      </w:r>
      <w:r w:rsidRPr="007B51F6">
        <w:rPr>
          <w:rFonts w:asciiTheme="minorHAnsi" w:hAnsiTheme="minorHAnsi"/>
          <w:b/>
          <w:sz w:val="24"/>
        </w:rPr>
        <w:t>12 miesięcy od dnia podpisania umowy.</w:t>
      </w:r>
    </w:p>
    <w:p w:rsidR="00B2179C" w:rsidRPr="00E93C28" w:rsidRDefault="00B2179C" w:rsidP="00B2179C">
      <w:pPr>
        <w:pStyle w:val="Standard"/>
        <w:ind w:left="360"/>
        <w:jc w:val="both"/>
        <w:rPr>
          <w:rFonts w:ascii="Times New Roman" w:hAnsi="Times New Roman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zdolności technicznej i zawodowej: </w:t>
      </w:r>
    </w:p>
    <w:p w:rsidR="0044123D" w:rsidRDefault="00141017" w:rsidP="00D12F01">
      <w:pPr>
        <w:pStyle w:val="PPKT"/>
        <w:numPr>
          <w:ilvl w:val="2"/>
          <w:numId w:val="30"/>
        </w:numPr>
        <w:spacing w:before="0" w:after="0" w:line="240" w:lineRule="auto"/>
        <w:ind w:left="851" w:hanging="283"/>
        <w:rPr>
          <w:rFonts w:asciiTheme="minorHAnsi" w:hAnsiTheme="minorHAnsi" w:cs="Calibri"/>
        </w:rPr>
      </w:pPr>
      <w:r w:rsidRPr="00334578">
        <w:rPr>
          <w:rFonts w:asciiTheme="minorHAnsi" w:hAnsiTheme="minorHAnsi" w:cs="Calibri"/>
        </w:rPr>
        <w:t>Wykonawca spełni warunek je</w:t>
      </w:r>
      <w:r w:rsidR="0044123D">
        <w:rPr>
          <w:rFonts w:asciiTheme="minorHAnsi" w:hAnsiTheme="minorHAnsi" w:cs="Calibri"/>
        </w:rPr>
        <w:t>żeli wykaże, że w okresie ostatnich 3</w:t>
      </w:r>
      <w:r w:rsidRPr="0044123D">
        <w:rPr>
          <w:rFonts w:asciiTheme="minorHAnsi" w:hAnsiTheme="minorHAnsi" w:cs="Calibri"/>
        </w:rPr>
        <w:t xml:space="preserve"> lat przed upływem terminu składania ofert, a jeżeli okres prowadzenia działalności jest krótszy – w tym okresie, </w:t>
      </w:r>
      <w:r w:rsidR="0044123D">
        <w:rPr>
          <w:rFonts w:asciiTheme="minorHAnsi" w:hAnsiTheme="minorHAnsi" w:cs="Calibri"/>
        </w:rPr>
        <w:t>należycie wykonał, a w przypadku świadczeń okresowych i ciągłych również wykonuje, co najmniej jedno zamówienie, polegające na dostawie stymulatorów, każde o wartości brutto nie mniejszej niż wskazana poniżej dla poszczególnych pakietów: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5433"/>
      </w:tblGrid>
      <w:tr w:rsidR="0044123D" w:rsidRPr="0044123D" w:rsidTr="004665B8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44123D" w:rsidRPr="0044123D" w:rsidTr="004665B8">
        <w:trPr>
          <w:trHeight w:val="228"/>
          <w:jc w:val="center"/>
        </w:trPr>
        <w:tc>
          <w:tcPr>
            <w:tcW w:w="1577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  <w:vAlign w:val="bottom"/>
          </w:tcPr>
          <w:p w:rsidR="0044123D" w:rsidRPr="0044123D" w:rsidRDefault="0044123D" w:rsidP="004665B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120.000</w:t>
            </w:r>
            <w:r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44123D" w:rsidRPr="0044123D" w:rsidTr="004665B8">
        <w:trPr>
          <w:trHeight w:val="85"/>
          <w:jc w:val="center"/>
        </w:trPr>
        <w:tc>
          <w:tcPr>
            <w:tcW w:w="1577" w:type="dxa"/>
            <w:vAlign w:val="center"/>
          </w:tcPr>
          <w:p w:rsidR="0044123D" w:rsidRPr="0044123D" w:rsidRDefault="0044123D" w:rsidP="004665B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44123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  <w:vAlign w:val="bottom"/>
          </w:tcPr>
          <w:p w:rsidR="0044123D" w:rsidRPr="0044123D" w:rsidRDefault="0044123D" w:rsidP="004665B8">
            <w:pPr>
              <w:jc w:val="right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90.000</w:t>
            </w:r>
            <w:r w:rsidRPr="0044123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>Wykluczenie wykonawcy nastąpi zgodnie z art. 24 ust. 7 ustawy.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Pr="00E25A11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WARUNKÓW UDZIAŁU W POSTĘPOWANIU ORAZ BRAK PODSTAW WYKLUCZENIA:</w:t>
      </w:r>
    </w:p>
    <w:p w:rsidR="006A6154" w:rsidRPr="00E25A11" w:rsidRDefault="006A6154" w:rsidP="00D12F01">
      <w:pPr>
        <w:pStyle w:val="Tekstpodstawowy21"/>
        <w:widowControl/>
        <w:numPr>
          <w:ilvl w:val="3"/>
          <w:numId w:val="1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/>
          <w:szCs w:val="24"/>
        </w:rPr>
        <w:t>OŚWIADCZENIE</w:t>
      </w:r>
      <w:r w:rsidRPr="00E25A11">
        <w:rPr>
          <w:rFonts w:asciiTheme="minorHAnsi" w:hAnsiTheme="minorHAnsi"/>
          <w:szCs w:val="24"/>
        </w:rPr>
        <w:t xml:space="preserve"> stanowiące wstępne potwierdzenie</w:t>
      </w:r>
      <w:r w:rsidRPr="00E25A11">
        <w:rPr>
          <w:rFonts w:asciiTheme="minorHAnsi" w:hAnsiTheme="minorHAnsi"/>
          <w:b/>
          <w:szCs w:val="24"/>
        </w:rPr>
        <w:t>,</w:t>
      </w:r>
      <w:r w:rsidRPr="00E25A11">
        <w:rPr>
          <w:rFonts w:asciiTheme="minorHAnsi" w:hAnsiTheme="minorHAnsi"/>
          <w:szCs w:val="24"/>
        </w:rPr>
        <w:t xml:space="preserve"> że wykonawca: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0453DA" w:rsidRPr="00E25A11">
        <w:rPr>
          <w:rFonts w:asciiTheme="minorHAnsi" w:hAnsiTheme="minorHAnsi"/>
          <w:szCs w:val="24"/>
        </w:rPr>
        <w:t>cznik Nr 3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5"/>
        </w:numPr>
        <w:ind w:left="113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0453DA" w:rsidRPr="00E25A11">
        <w:rPr>
          <w:rFonts w:asciiTheme="minorHAnsi" w:hAnsiTheme="minorHAnsi"/>
          <w:szCs w:val="24"/>
        </w:rPr>
        <w:t>4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4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wykonawców ubiegających się wspólnie o 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 xml:space="preserve">w przypadku wykonawców wspólnie ubiegających się o 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 w:rsidRPr="00E25A11">
        <w:rPr>
          <w:rFonts w:asciiTheme="minorHAnsi" w:hAnsiTheme="minorHAnsi"/>
          <w:b/>
          <w:szCs w:val="24"/>
        </w:rPr>
        <w:t>2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A6154" w:rsidRPr="00E25A11" w:rsidRDefault="00E25A11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lastRenderedPageBreak/>
        <w:t>3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:rsidR="00A665F5" w:rsidRPr="00E25A11" w:rsidRDefault="00A665F5" w:rsidP="00D12F01">
      <w:pPr>
        <w:pStyle w:val="Akapitzlist"/>
        <w:widowControl/>
        <w:numPr>
          <w:ilvl w:val="6"/>
          <w:numId w:val="31"/>
        </w:numPr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:rsidR="00A665F5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podlega wykluczeniu (załącznik Nr 3 do SIWZ)</w:t>
      </w:r>
    </w:p>
    <w:p w:rsidR="006A6154" w:rsidRPr="00E25A11" w:rsidRDefault="00A665F5" w:rsidP="00D12F01">
      <w:pPr>
        <w:pStyle w:val="Akapitzlist"/>
        <w:widowControl/>
        <w:numPr>
          <w:ilvl w:val="0"/>
          <w:numId w:val="32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E25A11" w:rsidRPr="00E25A11">
        <w:rPr>
          <w:rFonts w:asciiTheme="minorHAnsi" w:hAnsiTheme="minorHAnsi"/>
          <w:sz w:val="24"/>
          <w:szCs w:val="24"/>
        </w:rPr>
        <w:t>powaniu (załącznik Nr 4 do SIWZ).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A665F5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:rsidR="00D501EA" w:rsidRPr="00A665F5" w:rsidRDefault="00D501EA" w:rsidP="00D12F01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dokumenty w przypadku przekazania tych dokumentów wyłącznie drogą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lastRenderedPageBreak/>
        <w:t>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stanowiącym załącznik nr 1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:rsidR="002E47D9" w:rsidRPr="002E47D9" w:rsidRDefault="00E705B9" w:rsidP="00D12F01">
      <w:pPr>
        <w:pStyle w:val="Akapitzlist"/>
        <w:widowControl/>
        <w:numPr>
          <w:ilvl w:val="0"/>
          <w:numId w:val="17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E363B1" w:rsidRPr="00D501EA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Pr="00E25A11">
        <w:rPr>
          <w:rFonts w:asciiTheme="minorHAnsi" w:hAnsiTheme="minorHAnsi"/>
          <w:b w:val="0"/>
          <w:bCs/>
        </w:rPr>
        <w:t>załącznik nr  1</w:t>
      </w:r>
      <w:r w:rsidR="008B2198" w:rsidRPr="00E25A11">
        <w:rPr>
          <w:rFonts w:asciiTheme="minorHAnsi" w:hAnsiTheme="minorHAnsi"/>
          <w:b w:val="0"/>
          <w:bCs/>
        </w:rPr>
        <w:t xml:space="preserve"> i 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lastRenderedPageBreak/>
        <w:t>Ofertę oraz wszystkie załączniki do oferty muszą być sporządzone czytelną trwałą techniką, w języku polskim, w walucie PLN.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eastAsia="Calibri" w:hAnsiTheme="minorHAnsi"/>
          <w:szCs w:val="24"/>
          <w:lang w:eastAsia="pl-PL"/>
        </w:rPr>
        <w:t xml:space="preserve">Zakup i dostawa stymulatorów jednojamowych, dwujamowych, elektrod do stymulatorów  oraz </w:t>
      </w:r>
      <w:proofErr w:type="spellStart"/>
      <w:r w:rsidRPr="00E25A11">
        <w:rPr>
          <w:rFonts w:asciiTheme="minorHAnsi" w:eastAsia="Calibri" w:hAnsiTheme="minorHAnsi"/>
          <w:szCs w:val="24"/>
          <w:lang w:eastAsia="pl-PL"/>
        </w:rPr>
        <w:t>introducerów</w:t>
      </w:r>
      <w:proofErr w:type="spellEnd"/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9A4B86">
        <w:rPr>
          <w:rFonts w:asciiTheme="minorHAnsi" w:hAnsiTheme="minorHAnsi"/>
          <w:szCs w:val="24"/>
        </w:rPr>
        <w:t xml:space="preserve"> – 20</w:t>
      </w:r>
      <w:r w:rsidR="00D501EA" w:rsidRPr="00E25A11">
        <w:rPr>
          <w:rFonts w:asciiTheme="minorHAnsi" w:hAnsiTheme="minorHAnsi"/>
          <w:szCs w:val="24"/>
        </w:rPr>
        <w:t>/2016.</w:t>
      </w:r>
    </w:p>
    <w:p w:rsidR="00D501EA" w:rsidRPr="00E25A11" w:rsidRDefault="009A4B8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 w:val="0"/>
          <w:szCs w:val="24"/>
        </w:rPr>
        <w:t>Nie otwierać przed dniem  09.01</w:t>
      </w:r>
      <w:r w:rsidR="008B2198" w:rsidRPr="00E25A11">
        <w:rPr>
          <w:rFonts w:asciiTheme="minorHAnsi" w:hAnsiTheme="minorHAnsi"/>
          <w:b w:val="0"/>
          <w:szCs w:val="24"/>
        </w:rPr>
        <w:t>.201</w:t>
      </w:r>
      <w:r>
        <w:rPr>
          <w:rFonts w:asciiTheme="minorHAnsi" w:hAnsiTheme="minorHAnsi"/>
          <w:b w:val="0"/>
          <w:szCs w:val="24"/>
        </w:rPr>
        <w:t>7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lastRenderedPageBreak/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ZOZ MSW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9A4B86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</w:t>
      </w:r>
      <w:r w:rsidR="009A4B86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9A4B86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9A4B86">
        <w:rPr>
          <w:rFonts w:asciiTheme="minorHAnsi" w:hAnsiTheme="minorHAnsi"/>
          <w:b/>
          <w:szCs w:val="24"/>
        </w:rPr>
        <w:t>09</w:t>
      </w:r>
      <w:r w:rsidRPr="00AB5255">
        <w:rPr>
          <w:rFonts w:asciiTheme="minorHAnsi" w:hAnsiTheme="minorHAnsi"/>
          <w:b/>
          <w:szCs w:val="24"/>
        </w:rPr>
        <w:t>.</w:t>
      </w:r>
      <w:r w:rsidR="009A4B86">
        <w:rPr>
          <w:rFonts w:asciiTheme="minorHAnsi" w:hAnsiTheme="minorHAnsi"/>
          <w:b/>
          <w:szCs w:val="24"/>
        </w:rPr>
        <w:t>01</w:t>
      </w:r>
      <w:r w:rsidRPr="00AB5255">
        <w:rPr>
          <w:rFonts w:asciiTheme="minorHAnsi" w:hAnsiTheme="minorHAnsi"/>
          <w:b/>
          <w:szCs w:val="24"/>
        </w:rPr>
        <w:t>.201</w:t>
      </w:r>
      <w:r w:rsidR="009A4B86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9A4B8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stanowiących załączniki odpowiednio nr 1 i nr 2 do niniejszej specyfikacji.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D12F01">
      <w:pPr>
        <w:pStyle w:val="Tekstpodstawowy21"/>
        <w:widowControl/>
        <w:numPr>
          <w:ilvl w:val="0"/>
          <w:numId w:val="3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lastRenderedPageBreak/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675192" w:rsidRPr="00E25A11" w:rsidRDefault="008B2198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jakość</w:t>
      </w:r>
      <w:r w:rsidRPr="00E25A11">
        <w:rPr>
          <w:rFonts w:asciiTheme="minorHAnsi" w:hAnsiTheme="minorHAnsi"/>
          <w:b/>
          <w:sz w:val="24"/>
        </w:rPr>
        <w:t xml:space="preserve"> – 40</w:t>
      </w:r>
      <w:r w:rsidR="00675192" w:rsidRPr="00E25A11">
        <w:rPr>
          <w:rFonts w:asciiTheme="minorHAnsi" w:hAnsiTheme="minorHAnsi"/>
          <w:b/>
          <w:sz w:val="24"/>
        </w:rPr>
        <w:t xml:space="preserve">%. </w:t>
      </w:r>
      <w:r w:rsidRPr="00E25A11">
        <w:rPr>
          <w:rFonts w:asciiTheme="minorHAnsi" w:hAnsiTheme="minorHAnsi"/>
          <w:sz w:val="24"/>
        </w:rPr>
        <w:t>Oferta, w zależności od uzyskanych punktów na parametry jakościowe podlegające ocenie, otrzyma następująca liczbę punktów:</w:t>
      </w:r>
      <w:r w:rsidR="00675192" w:rsidRPr="00E25A11">
        <w:rPr>
          <w:rFonts w:asciiTheme="minorHAnsi" w:hAnsiTheme="minorHAnsi"/>
          <w:sz w:val="24"/>
        </w:rPr>
        <w:t>:</w:t>
      </w:r>
    </w:p>
    <w:p w:rsidR="00675192" w:rsidRPr="00E25A11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1</w:t>
      </w:r>
    </w:p>
    <w:p w:rsidR="000B1FBC" w:rsidRPr="00E25A11" w:rsidRDefault="000B1FBC" w:rsidP="00675192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0B1FBC" w:rsidRPr="00E25A11" w:rsidTr="0065155C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675192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92" w:rsidRPr="00E25A11" w:rsidRDefault="00675192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92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</w:t>
            </w:r>
            <w:r w:rsidR="00DC4294"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75192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0B1FBC" w:rsidRPr="00E25A11" w:rsidTr="000B1FBC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FBC" w:rsidRPr="00E25A11" w:rsidRDefault="000B1FBC" w:rsidP="0065155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FBC" w:rsidRPr="00E25A11" w:rsidRDefault="000B1FBC" w:rsidP="004371E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1FBC" w:rsidRPr="00E25A11" w:rsidRDefault="000B1FBC" w:rsidP="0065155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675192" w:rsidRPr="00E25A11" w:rsidRDefault="00675192" w:rsidP="00EB4C08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0B1FBC" w:rsidRPr="00E25A11" w:rsidRDefault="000B1FBC" w:rsidP="000B1FB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0B1FBC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L.p.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>Możliwość ciągłej ambulatoryjnej oceny skuteczności stymulacji komorowej (dot. Poz. 1 i 2) „beat-beat”</w:t>
            </w:r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 xml:space="preserve">Możliwość programowania czułości w kanale komorowym (dot. Poz. 1 i 2) od 0,5 </w:t>
            </w:r>
            <w:proofErr w:type="spellStart"/>
            <w:r w:rsidRPr="00E25A11">
              <w:rPr>
                <w:rFonts w:asciiTheme="minorHAnsi" w:hAnsiTheme="minorHAnsi"/>
                <w:sz w:val="22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>Obecny program ciągłej ambulatoryjnej automatycznej oceny czułości w kanale przedsionkowym i komorowym</w:t>
            </w:r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  <w:tr w:rsidR="000B1FBC" w:rsidRPr="00E25A11" w:rsidTr="000B1FBC">
        <w:trPr>
          <w:trHeight w:val="92"/>
          <w:jc w:val="center"/>
        </w:trPr>
        <w:tc>
          <w:tcPr>
            <w:tcW w:w="61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0B1FBC" w:rsidRPr="00E25A11" w:rsidRDefault="000B1FBC" w:rsidP="000B1FBC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2"/>
              </w:rPr>
              <w:t xml:space="preserve">Możliwość programowania czułości w kanale przedsionkowym (dot. poz. 2) od 0,1 </w:t>
            </w:r>
            <w:proofErr w:type="spellStart"/>
            <w:r w:rsidRPr="00E25A11">
              <w:rPr>
                <w:rFonts w:asciiTheme="minorHAnsi" w:hAnsiTheme="minorHAnsi"/>
                <w:sz w:val="22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0B1FBC" w:rsidRPr="00E25A11" w:rsidRDefault="000B1FBC" w:rsidP="000B1FBC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</w:t>
            </w:r>
            <w:r w:rsidR="00DC4294" w:rsidRPr="00E25A11">
              <w:rPr>
                <w:rFonts w:asciiTheme="minorHAnsi" w:hAnsiTheme="minorHAnsi" w:cs="Arial"/>
                <w:szCs w:val="16"/>
              </w:rPr>
              <w:t>0</w:t>
            </w:r>
            <w:r w:rsidRPr="00E25A11">
              <w:rPr>
                <w:rFonts w:asciiTheme="minorHAnsi" w:hAnsiTheme="minorHAnsi" w:cs="Arial"/>
                <w:szCs w:val="16"/>
              </w:rPr>
              <w:t xml:space="preserve"> pkt.</w:t>
            </w:r>
          </w:p>
        </w:tc>
      </w:tr>
    </w:tbl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Pakiet nr 2</w:t>
      </w:r>
    </w:p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b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Liczba punktów uzyskanych za parametry jakościowe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Ilość punktów uzyskanych w kryterium jakość (40%)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DC4294" w:rsidRPr="00E25A11" w:rsidTr="00957B6E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25A11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25A11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</w:tr>
    </w:tbl>
    <w:p w:rsidR="00DC4294" w:rsidRPr="00E25A11" w:rsidRDefault="00DC4294" w:rsidP="00DC429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</w:rPr>
      </w:pP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Parametry podlegające ocenie:</w:t>
      </w:r>
    </w:p>
    <w:p w:rsidR="00DC4294" w:rsidRPr="00E25A11" w:rsidRDefault="00DC4294" w:rsidP="00DC429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tbl>
      <w:tblPr>
        <w:tblW w:w="90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300"/>
        <w:gridCol w:w="2160"/>
      </w:tblGrid>
      <w:tr w:rsidR="00DC4294" w:rsidRPr="00E25A11" w:rsidTr="00957B6E">
        <w:trPr>
          <w:trHeight w:val="225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L.p.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Nazwa parametru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b/>
                <w:szCs w:val="16"/>
              </w:rPr>
            </w:pPr>
            <w:r w:rsidRPr="00E25A11">
              <w:rPr>
                <w:rFonts w:asciiTheme="minorHAnsi" w:hAnsiTheme="minorHAnsi" w:cs="Arial"/>
                <w:b/>
                <w:szCs w:val="16"/>
              </w:rPr>
              <w:t>Punktacja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1 do 2 dodatkowych prowadników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 i więcej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2.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ciągłej ambulatoryjnej oceny skuteczności stymulacji komorowej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>) „beat-beat”</w:t>
            </w:r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3.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eastAsia="Arial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komorowym (</w:t>
            </w:r>
            <w:r w:rsidRPr="00E25A11">
              <w:rPr>
                <w:rFonts w:asciiTheme="minorHAnsi" w:hAnsiTheme="minorHAnsi"/>
                <w:sz w:val="22"/>
              </w:rPr>
              <w:t>dot. Poz. 1 i 2</w:t>
            </w:r>
            <w:r w:rsidRPr="00E25A11">
              <w:rPr>
                <w:rFonts w:asciiTheme="minorHAnsi" w:hAnsiTheme="minorHAnsi"/>
                <w:sz w:val="24"/>
              </w:rPr>
              <w:t xml:space="preserve">) od 0,5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  <w:tr w:rsidR="00DC4294" w:rsidRPr="00E25A11" w:rsidTr="00957B6E">
        <w:trPr>
          <w:trHeight w:val="92"/>
          <w:jc w:val="center"/>
        </w:trPr>
        <w:tc>
          <w:tcPr>
            <w:tcW w:w="61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4.</w:t>
            </w:r>
          </w:p>
        </w:tc>
        <w:tc>
          <w:tcPr>
            <w:tcW w:w="6300" w:type="dxa"/>
            <w:vAlign w:val="center"/>
          </w:tcPr>
          <w:p w:rsidR="00DC4294" w:rsidRPr="00E25A11" w:rsidRDefault="00DC4294" w:rsidP="00957B6E">
            <w:pPr>
              <w:snapToGrid w:val="0"/>
              <w:rPr>
                <w:rFonts w:asciiTheme="minorHAnsi" w:hAnsiTheme="minorHAnsi" w:cs="Arial"/>
                <w:sz w:val="22"/>
                <w:szCs w:val="16"/>
              </w:rPr>
            </w:pPr>
            <w:r w:rsidRPr="00E25A11">
              <w:rPr>
                <w:rFonts w:asciiTheme="minorHAnsi" w:hAnsiTheme="minorHAnsi"/>
                <w:sz w:val="24"/>
              </w:rPr>
              <w:t>Możliwość programowania czułości w kanale przedsionkowym (</w:t>
            </w:r>
            <w:r w:rsidRPr="00E25A11">
              <w:rPr>
                <w:rFonts w:asciiTheme="minorHAnsi" w:hAnsiTheme="minorHAnsi"/>
                <w:sz w:val="22"/>
              </w:rPr>
              <w:t>dot. Poz. 2</w:t>
            </w:r>
            <w:r w:rsidRPr="00E25A11">
              <w:rPr>
                <w:rFonts w:asciiTheme="minorHAnsi" w:hAnsiTheme="minorHAnsi"/>
                <w:sz w:val="24"/>
              </w:rPr>
              <w:t xml:space="preserve">) od 0,1 </w:t>
            </w:r>
            <w:proofErr w:type="spellStart"/>
            <w:r w:rsidRPr="00E25A11">
              <w:rPr>
                <w:rFonts w:asciiTheme="minorHAnsi" w:hAnsiTheme="minorHAnsi"/>
                <w:sz w:val="24"/>
              </w:rPr>
              <w:t>mV</w:t>
            </w:r>
            <w:proofErr w:type="spellEnd"/>
          </w:p>
        </w:tc>
        <w:tc>
          <w:tcPr>
            <w:tcW w:w="2160" w:type="dxa"/>
            <w:vAlign w:val="center"/>
          </w:tcPr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NIE – 0 pkt.</w:t>
            </w:r>
          </w:p>
          <w:p w:rsidR="00DC4294" w:rsidRPr="00E25A11" w:rsidRDefault="00DC4294" w:rsidP="00957B6E">
            <w:pPr>
              <w:jc w:val="center"/>
              <w:rPr>
                <w:rFonts w:asciiTheme="minorHAnsi" w:hAnsiTheme="minorHAnsi" w:cs="Arial"/>
                <w:szCs w:val="16"/>
              </w:rPr>
            </w:pPr>
            <w:r w:rsidRPr="00E25A11">
              <w:rPr>
                <w:rFonts w:asciiTheme="minorHAnsi" w:hAnsiTheme="minorHAnsi" w:cs="Arial"/>
                <w:szCs w:val="16"/>
              </w:rPr>
              <w:t>TAK -  10 pkt.</w:t>
            </w:r>
          </w:p>
        </w:tc>
      </w:tr>
    </w:tbl>
    <w:p w:rsidR="00DC4294" w:rsidRPr="00E25A11" w:rsidRDefault="00DC4294" w:rsidP="00DC4294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uzyskanych w kryteriach określonych w 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5A11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Zamawiający nie będzie żądał wniesienia zabezpieczenia należytego wykonania umowy</w:t>
      </w:r>
      <w:r w:rsidR="00EB4C08" w:rsidRPr="00E25A11">
        <w:rPr>
          <w:rFonts w:asciiTheme="minorHAnsi" w:hAnsiTheme="minorHAnsi"/>
          <w:sz w:val="24"/>
          <w:szCs w:val="24"/>
        </w:rPr>
        <w:t>.</w:t>
      </w:r>
    </w:p>
    <w:p w:rsidR="002D6886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</w:t>
      </w:r>
      <w:r w:rsidRPr="00E25A11">
        <w:rPr>
          <w:rFonts w:asciiTheme="minorHAnsi" w:hAnsiTheme="minorHAnsi"/>
          <w:sz w:val="24"/>
          <w:szCs w:val="24"/>
        </w:rPr>
        <w:lastRenderedPageBreak/>
        <w:t>Ponadto wykonawcy zobowiązani są przedłożyć umowę regulującą współpracę wykonawców występujących wspólnie (jeśli nie była dołączona do oferty).</w:t>
      </w:r>
    </w:p>
    <w:p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PRAWNEJ PRZYSŁUGUJĄCYCH WYKONAWCY W TOKU POSTĘPOWANIA O UDZIELENIE ZAMÓWIENIA:</w:t>
      </w:r>
    </w:p>
    <w:p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lastRenderedPageBreak/>
        <w:t>Zamawiający nie przewiduje zawarcia umowy ramowej.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2D6886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2D6886">
        <w:rPr>
          <w:rFonts w:asciiTheme="minorHAnsi" w:hAnsiTheme="minorHAnsi"/>
          <w:bCs/>
          <w:i/>
          <w:iCs/>
          <w:sz w:val="20"/>
        </w:rPr>
        <w:t>Załącznik nr 2 – Formularz cenowy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3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2D6886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E25A11">
        <w:rPr>
          <w:rFonts w:asciiTheme="minorHAnsi" w:hAnsiTheme="minorHAnsi"/>
          <w:bCs/>
          <w:i/>
          <w:sz w:val="20"/>
        </w:rPr>
        <w:t>5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E25A11">
        <w:rPr>
          <w:rFonts w:asciiTheme="minorHAnsi" w:hAnsiTheme="minorHAnsi"/>
          <w:bCs/>
          <w:i/>
          <w:iCs/>
        </w:rPr>
        <w:t>6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894394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Lidia Kłosowska</w:t>
      </w:r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9A4B86">
        <w:rPr>
          <w:rFonts w:asciiTheme="minorHAnsi" w:hAnsiTheme="minorHAnsi"/>
          <w:sz w:val="24"/>
        </w:rPr>
        <w:t>goszcz, dn. 30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E25A11">
        <w:rPr>
          <w:rFonts w:asciiTheme="minorHAnsi" w:hAnsiTheme="minorHAnsi"/>
          <w:sz w:val="24"/>
        </w:rPr>
        <w:t>grudnia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7F3AB6" w:rsidRPr="00F97749">
        <w:rPr>
          <w:rFonts w:asciiTheme="minorHAnsi" w:hAnsiTheme="minorHAnsi"/>
          <w:sz w:val="24"/>
        </w:rPr>
        <w:t>6</w:t>
      </w:r>
    </w:p>
    <w:p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SPW ZOZ MSW w Bydgoszczy</w:t>
      </w: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920AFE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A4B86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20</w:t>
      </w:r>
      <w:r w:rsidR="000D5F17" w:rsidRPr="00B15EEA">
        <w:rPr>
          <w:rFonts w:asciiTheme="minorHAnsi" w:hAnsiTheme="minorHAnsi"/>
          <w:szCs w:val="24"/>
        </w:rPr>
        <w:t>/2016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1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>Na</w:t>
      </w:r>
      <w:r w:rsidR="009A4B86">
        <w:rPr>
          <w:rFonts w:asciiTheme="minorHAnsi" w:hAnsiTheme="minorHAnsi"/>
          <w:sz w:val="24"/>
        </w:rPr>
        <w:t>wiązując do ogłoszonego w dniu 31</w:t>
      </w:r>
      <w:r w:rsidRPr="00B15EEA">
        <w:rPr>
          <w:rFonts w:asciiTheme="minorHAnsi" w:hAnsiTheme="minorHAnsi"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>grudnia</w:t>
      </w:r>
      <w:r w:rsidRPr="00B15EEA">
        <w:rPr>
          <w:rFonts w:asciiTheme="minorHAnsi" w:hAnsiTheme="minorHAnsi"/>
          <w:sz w:val="24"/>
        </w:rPr>
        <w:t xml:space="preserve"> 2016 r. w Biuletynie Zamów</w:t>
      </w:r>
      <w:r w:rsidR="00B06E8C">
        <w:rPr>
          <w:rFonts w:asciiTheme="minorHAnsi" w:hAnsiTheme="minorHAnsi"/>
          <w:sz w:val="24"/>
        </w:rPr>
        <w:t xml:space="preserve">ień Publicznych pod </w:t>
      </w:r>
      <w:r w:rsidR="003C41B0">
        <w:rPr>
          <w:rFonts w:asciiTheme="minorHAnsi" w:hAnsiTheme="minorHAnsi"/>
          <w:sz w:val="24"/>
        </w:rPr>
        <w:t>nr 377454</w:t>
      </w:r>
      <w:bookmarkStart w:id="0" w:name="_GoBack"/>
      <w:bookmarkEnd w:id="0"/>
      <w:r w:rsidRPr="00B15EEA">
        <w:rPr>
          <w:rFonts w:asciiTheme="minorHAnsi" w:hAnsiTheme="minorHAnsi"/>
          <w:sz w:val="24"/>
        </w:rPr>
        <w:t xml:space="preserve"> – 2016 przetargu nieograniczonego,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C35B97">
        <w:rPr>
          <w:rFonts w:asciiTheme="minorHAnsi" w:eastAsia="Calibri" w:hAnsiTheme="minorHAnsi"/>
          <w:b/>
          <w:sz w:val="24"/>
        </w:rPr>
        <w:t xml:space="preserve">Zakup i dostawa stymulatorów jednojamowych, dwujamowych, elektrod do stymulatorów  oraz </w:t>
      </w:r>
      <w:proofErr w:type="spellStart"/>
      <w:r w:rsidR="00C35B97">
        <w:rPr>
          <w:rFonts w:asciiTheme="minorHAnsi" w:eastAsia="Calibri" w:hAnsiTheme="minorHAnsi"/>
          <w:b/>
          <w:sz w:val="24"/>
        </w:rPr>
        <w:t>introducerów</w:t>
      </w:r>
      <w:proofErr w:type="spellEnd"/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="009A4B86">
        <w:rPr>
          <w:rFonts w:asciiTheme="minorHAnsi" w:hAnsiTheme="minorHAnsi"/>
          <w:sz w:val="24"/>
        </w:rPr>
        <w:t>– nr postępowania 20</w:t>
      </w:r>
      <w:r w:rsidRPr="00B15EEA">
        <w:rPr>
          <w:rFonts w:asciiTheme="minorHAnsi" w:hAnsiTheme="minorHAnsi"/>
          <w:sz w:val="24"/>
        </w:rPr>
        <w:t>/2016,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70"/>
        </w:trPr>
        <w:tc>
          <w:tcPr>
            <w:tcW w:w="1993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D5F17" w:rsidRPr="00B15EEA" w:rsidTr="007A14E8">
        <w:trPr>
          <w:trHeight w:val="432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D5F17" w:rsidRPr="00B15EEA" w:rsidTr="007A14E8">
        <w:trPr>
          <w:trHeight w:val="538"/>
        </w:trPr>
        <w:tc>
          <w:tcPr>
            <w:tcW w:w="5024" w:type="dxa"/>
            <w:gridSpan w:val="3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D5F17" w:rsidRPr="00B15EEA" w:rsidTr="007A14E8">
        <w:trPr>
          <w:trHeight w:val="538"/>
        </w:trPr>
        <w:tc>
          <w:tcPr>
            <w:tcW w:w="3858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D5F17" w:rsidRPr="00B15EEA" w:rsidRDefault="000D5F17" w:rsidP="007A14E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:rsidR="00B06E8C" w:rsidRPr="00E25A11" w:rsidRDefault="00B06E8C" w:rsidP="00D12F01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Oferujemy wykonanie przedmiotu zamówienia zgodnie z opisem i warunkami określonymi w specyfikacji istotnych warunków zamówienia </w:t>
      </w:r>
      <w:r w:rsidRPr="00E25A11">
        <w:rPr>
          <w:rFonts w:asciiTheme="minorHAnsi" w:hAnsiTheme="minorHAnsi"/>
          <w:b/>
          <w:sz w:val="24"/>
          <w:szCs w:val="24"/>
        </w:rPr>
        <w:t>za ryczałtową cenę brutto</w:t>
      </w:r>
      <w:r w:rsidRPr="00E25A11">
        <w:rPr>
          <w:rFonts w:asciiTheme="minorHAnsi" w:hAnsiTheme="minorHAnsi"/>
          <w:sz w:val="24"/>
          <w:szCs w:val="24"/>
        </w:rPr>
        <w:t xml:space="preserve"> wykazaną w formularzach cenowych, stanowiących załączniki do niniejszej oferty;</w:t>
      </w:r>
    </w:p>
    <w:p w:rsidR="000D5F17" w:rsidRPr="00B15EEA" w:rsidRDefault="000D5F17" w:rsidP="000D5F17">
      <w:pPr>
        <w:ind w:left="708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2.1.zapoznaliśmy się z warunkami przeprowadzanego postępowania i nie wnosimy do nich zastrzeżeń oraz posiadamy wszystkie niezbędne informacje do przygotowania oferty.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2.2. Oferowana przez n</w:t>
      </w:r>
      <w:smartTag w:uri="urn:schemas-microsoft-com:office:smarttags" w:element="PersonName">
        <w:r w:rsidRPr="00B06E8C">
          <w:rPr>
            <w:rFonts w:asciiTheme="minorHAnsi" w:hAnsiTheme="minorHAnsi"/>
            <w:sz w:val="24"/>
            <w:szCs w:val="24"/>
          </w:rPr>
          <w:t>as</w:t>
        </w:r>
      </w:smartTag>
      <w:r w:rsidRPr="00B06E8C">
        <w:rPr>
          <w:rFonts w:asciiTheme="minorHAnsi" w:hAnsiTheme="minorHAnsi"/>
          <w:sz w:val="24"/>
          <w:szCs w:val="24"/>
        </w:rPr>
        <w:t xml:space="preserve"> cena ofertowa zawiera podatek VAT oraz wszelkie koszty niezbędne do wykonania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2.3.uważamy się za związanych niniejszą ofertą przez okres 30 dni od upływu terminu składania ofert.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2.4.akceptujemy treść głównych postanowień umowy i nie wnosimy do niej uwag i zastrzeżeń, a w przypadku wyboru naszej oferty zobowiązujemy się do jej zawarcia </w:t>
      </w:r>
      <w:r w:rsidRPr="00B06E8C">
        <w:rPr>
          <w:rFonts w:asciiTheme="minorHAnsi" w:hAnsiTheme="minorHAnsi"/>
          <w:sz w:val="24"/>
          <w:szCs w:val="24"/>
        </w:rPr>
        <w:lastRenderedPageBreak/>
        <w:t>w terminach przewidzianych w specyfikacji istotnych warunków zamówienia.</w:t>
      </w:r>
    </w:p>
    <w:p w:rsidR="000D5F17" w:rsidRPr="00B06E8C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2.5. </w:t>
      </w:r>
      <w:r w:rsidR="00B06E8C" w:rsidRPr="00B06E8C">
        <w:rPr>
          <w:rFonts w:asciiTheme="minorHAnsi" w:hAnsiTheme="minorHAnsi"/>
          <w:sz w:val="24"/>
          <w:szCs w:val="24"/>
        </w:rPr>
        <w:t>oferowane wyroby w chwili dostawy będą posiadały trwałość materiałowo-użytkową nie krótszą niż 80% czasu ważności określanego przez wytwórcę</w:t>
      </w:r>
    </w:p>
    <w:p w:rsidR="00B06E8C" w:rsidRPr="00B06E8C" w:rsidRDefault="00B06E8C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2.6. oferowane przez nas wyroby stanowiące przedmiot zamówienia posiadają wszelkie niezbędne atesty i świadectwa rejestracji zgodnie z postanowieniami ustawy z dnia 20 maja 2010 r. o wyrobach medycznych (Dz. U. z 20120 r. Nr 107 poz. 679 z </w:t>
      </w:r>
      <w:proofErr w:type="spellStart"/>
      <w:r w:rsidRPr="00B06E8C">
        <w:rPr>
          <w:rFonts w:asciiTheme="minorHAnsi" w:hAnsiTheme="minorHAnsi"/>
          <w:sz w:val="24"/>
          <w:szCs w:val="24"/>
        </w:rPr>
        <w:t>późn</w:t>
      </w:r>
      <w:proofErr w:type="spellEnd"/>
      <w:r w:rsidRPr="00B06E8C">
        <w:rPr>
          <w:rFonts w:asciiTheme="minorHAnsi" w:hAnsiTheme="minorHAnsi"/>
          <w:sz w:val="24"/>
          <w:szCs w:val="24"/>
        </w:rPr>
        <w:t>. zm.) i zobowiązujemy się do ich przedstawienia na każde żądanie Zamawiającego.</w:t>
      </w:r>
    </w:p>
    <w:p w:rsidR="00B15EEA" w:rsidRP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B06E8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0D5F17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E45C19" w:rsidRPr="00957B6E" w:rsidRDefault="009A4B86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postępowania 20</w:t>
      </w:r>
      <w:r w:rsidR="00E45C19" w:rsidRPr="00957B6E">
        <w:rPr>
          <w:rFonts w:asciiTheme="minorHAnsi" w:hAnsiTheme="minorHAnsi" w:cs="Arial"/>
          <w:sz w:val="22"/>
          <w:szCs w:val="22"/>
        </w:rPr>
        <w:t>/2016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/>
          <w:bCs/>
          <w:szCs w:val="24"/>
        </w:rPr>
        <w:t xml:space="preserve">załącznik nr 2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537"/>
        <w:gridCol w:w="1843"/>
        <w:gridCol w:w="1842"/>
        <w:gridCol w:w="1276"/>
        <w:gridCol w:w="1134"/>
        <w:gridCol w:w="1690"/>
        <w:gridCol w:w="1559"/>
      </w:tblGrid>
      <w:tr w:rsidR="00E45C19" w:rsidRPr="00957B6E" w:rsidTr="00957B6E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Pakiet nr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E45C19" w:rsidRPr="00957B6E" w:rsidTr="00957B6E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8 = 6 x 7</w:t>
            </w:r>
          </w:p>
        </w:tc>
      </w:tr>
      <w:tr w:rsidR="00E45C19" w:rsidRPr="00957B6E" w:rsidTr="00957B6E">
        <w:trPr>
          <w:cantSplit/>
        </w:trPr>
        <w:tc>
          <w:tcPr>
            <w:tcW w:w="667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5537" w:type="dxa"/>
            <w:vAlign w:val="bottom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jednojamowy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przy stymulacji VVI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czułości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</w:p>
        </w:tc>
        <w:tc>
          <w:tcPr>
            <w:tcW w:w="1843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20</w:t>
            </w:r>
          </w:p>
        </w:tc>
        <w:tc>
          <w:tcPr>
            <w:tcW w:w="1690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5537" w:type="dxa"/>
            <w:vAlign w:val="bottom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dwujamowy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 (trybie VVI)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(ambulatoryjnie)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>Program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dla zachowania rytmu zatokowego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  <w:t>- Funkcja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(zmiana trybu stymulacji przy arytmiach przedsionkowych)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stymulacji/czułości (A/V) 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</w:p>
        </w:tc>
        <w:tc>
          <w:tcPr>
            <w:tcW w:w="1843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60</w:t>
            </w:r>
          </w:p>
        </w:tc>
        <w:tc>
          <w:tcPr>
            <w:tcW w:w="1690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</w:tbl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/>
    <w:p w:rsidR="00957B6E" w:rsidRDefault="00957B6E" w:rsidP="00E45C19"/>
    <w:p w:rsidR="00957B6E" w:rsidRDefault="00957B6E" w:rsidP="00E45C19"/>
    <w:p w:rsidR="00957B6E" w:rsidRDefault="00957B6E" w:rsidP="00E45C19"/>
    <w:tbl>
      <w:tblPr>
        <w:tblW w:w="1502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Pakiet nr 1 – 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Możliwość ciągłej ambulatoryjnej oceny skuteczności stymulacji komorowej (dot. Poz. 1 i 2) „beat-beat”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(dot. Poz. 1 i 2) od 0,5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Obecny program ciągłej ambulatoryjnej automatycznej oceny czułości w kanale przedsionkowym i komorowym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(dot. poz. 2) od 0,1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57B6E" w:rsidRDefault="00957B6E" w:rsidP="00E45C19"/>
    <w:p w:rsidR="00957B6E" w:rsidRDefault="00957B6E" w:rsidP="00E45C19"/>
    <w:p w:rsidR="00957B6E" w:rsidRDefault="00957B6E" w:rsidP="00E45C19"/>
    <w:p w:rsidR="00957B6E" w:rsidRDefault="00957B6E" w:rsidP="00E45C19"/>
    <w:p w:rsidR="00957B6E" w:rsidRDefault="00957B6E" w:rsidP="00E45C19"/>
    <w:p w:rsidR="00957B6E" w:rsidRDefault="00957B6E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E45C19" w:rsidRDefault="00E45C19" w:rsidP="00E45C19">
      <w:pPr>
        <w:sectPr w:rsidR="00E45C19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E45C19" w:rsidRDefault="00E45C19" w:rsidP="00E45C19"/>
    <w:p w:rsidR="00E25A11" w:rsidRDefault="00E25A11" w:rsidP="00E45C19"/>
    <w:p w:rsidR="00E25A11" w:rsidRDefault="00E25A11" w:rsidP="00E45C19"/>
    <w:tbl>
      <w:tblPr>
        <w:tblW w:w="15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537"/>
        <w:gridCol w:w="1843"/>
        <w:gridCol w:w="1842"/>
        <w:gridCol w:w="1276"/>
        <w:gridCol w:w="1134"/>
        <w:gridCol w:w="1690"/>
        <w:gridCol w:w="1559"/>
      </w:tblGrid>
      <w:tr w:rsidR="00E45C19" w:rsidRPr="00957B6E" w:rsidTr="00957B6E">
        <w:trPr>
          <w:cantSplit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Pakiet nr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957B6E">
              <w:rPr>
                <w:rFonts w:asciiTheme="minorHAnsi" w:hAnsiTheme="minorHAnsi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Nazwa/Producent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Numer katalogowy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Cena jednostkowa brutto [PLN]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Wartość brutto [PLN]</w:t>
            </w:r>
          </w:p>
        </w:tc>
      </w:tr>
      <w:tr w:rsidR="00E45C19" w:rsidRPr="00957B6E" w:rsidTr="00957B6E">
        <w:trPr>
          <w:cantSplit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</w:rPr>
            </w:pPr>
            <w:r w:rsidRPr="00957B6E">
              <w:rPr>
                <w:rFonts w:asciiTheme="minorHAnsi" w:hAnsiTheme="minorHAnsi"/>
                <w:b/>
              </w:rPr>
              <w:t>8 = 6 x 7</w:t>
            </w:r>
          </w:p>
        </w:tc>
      </w:tr>
      <w:tr w:rsidR="00E45C19" w:rsidRPr="00957B6E" w:rsidTr="00957B6E">
        <w:trPr>
          <w:cantSplit/>
        </w:trPr>
        <w:tc>
          <w:tcPr>
            <w:tcW w:w="667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1</w:t>
            </w:r>
          </w:p>
        </w:tc>
        <w:tc>
          <w:tcPr>
            <w:tcW w:w="5537" w:type="dxa"/>
            <w:vAlign w:val="bottom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jednojamowy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przy stymulacji VVI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czułości (A/V)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  <w:color w:val="000000"/>
                <w:lang w:eastAsia="pl-PL"/>
              </w:rPr>
            </w:pPr>
            <w:r w:rsidRPr="00957B6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690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2</w:t>
            </w:r>
          </w:p>
        </w:tc>
        <w:tc>
          <w:tcPr>
            <w:tcW w:w="5537" w:type="dxa"/>
            <w:vAlign w:val="bottom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Stymulator dwujamowy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Waga max 30g</w:t>
            </w:r>
            <w:r w:rsidRPr="00957B6E">
              <w:rPr>
                <w:rFonts w:asciiTheme="minorHAnsi" w:hAnsiTheme="minorHAnsi"/>
                <w:color w:val="000000"/>
              </w:rPr>
              <w:br/>
              <w:t>- Program nocny lub spoczynkowy</w:t>
            </w:r>
            <w:r w:rsidRPr="00957B6E">
              <w:rPr>
                <w:rFonts w:asciiTheme="minorHAnsi" w:hAnsiTheme="minorHAnsi"/>
                <w:color w:val="000000"/>
              </w:rPr>
              <w:br/>
              <w:t>- Histereza (trybie VVI)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Automatyczny pomiar progu stymulacji komorowej (ambulatoryjnie) (program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autocapture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)</w:t>
            </w:r>
            <w:r w:rsidRPr="00957B6E">
              <w:rPr>
                <w:rFonts w:asciiTheme="minorHAnsi" w:hAnsiTheme="minorHAnsi"/>
                <w:color w:val="000000"/>
              </w:rPr>
              <w:br/>
              <w:t>Program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overdrive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pacing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dla zachowania rytmu zatokowego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funkcja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rate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response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  <w:t>- funkcja „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mode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switching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” (zmiana trybu stymulacji przy arytmiach przedsionkowych)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stymulacji/czułości (A/V) ) unipolarny, bipolarny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Stymulator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690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5537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Elektroda do stymulatorów</w:t>
            </w:r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do stałej stymulacji serca</w:t>
            </w:r>
            <w:r w:rsidRPr="00957B6E">
              <w:rPr>
                <w:rFonts w:asciiTheme="minorHAnsi" w:hAnsiTheme="minorHAnsi"/>
                <w:color w:val="000000"/>
              </w:rPr>
              <w:br/>
              <w:t>- polarność do wyboru: UNI/BIP</w:t>
            </w:r>
            <w:r w:rsidRPr="00957B6E">
              <w:rPr>
                <w:rFonts w:asciiTheme="minorHAnsi" w:hAnsiTheme="minorHAnsi"/>
                <w:color w:val="000000"/>
              </w:rPr>
              <w:br/>
              <w:t>- fiksacja do wyboru: bierna / czynna</w:t>
            </w:r>
            <w:r w:rsidRPr="00957B6E">
              <w:rPr>
                <w:rFonts w:asciiTheme="minorHAnsi" w:hAnsiTheme="minorHAnsi"/>
                <w:color w:val="000000"/>
              </w:rPr>
              <w:br/>
              <w:t>- elektrody A i V: sterydowe</w:t>
            </w:r>
            <w:r w:rsidRPr="00957B6E">
              <w:rPr>
                <w:rFonts w:asciiTheme="minorHAnsi" w:hAnsiTheme="minorHAnsi"/>
                <w:color w:val="000000"/>
              </w:rPr>
              <w:br/>
              <w:t>- długość elektrod do wyboru (przedsionkowe, komorowe)</w:t>
            </w:r>
            <w:r w:rsidRPr="00957B6E">
              <w:rPr>
                <w:rFonts w:asciiTheme="minorHAnsi" w:hAnsiTheme="minorHAnsi"/>
                <w:color w:val="000000"/>
              </w:rPr>
              <w:br/>
              <w:t>- wejścia: IS - 1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"pro MRI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full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body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scan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690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vAlign w:val="center"/>
          </w:tcPr>
          <w:p w:rsidR="00E45C19" w:rsidRPr="00957B6E" w:rsidRDefault="00E45C19" w:rsidP="00957B6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4</w:t>
            </w:r>
          </w:p>
        </w:tc>
        <w:tc>
          <w:tcPr>
            <w:tcW w:w="5537" w:type="dxa"/>
            <w:vAlign w:val="bottom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br/>
            </w:r>
            <w:r w:rsidRPr="00957B6E">
              <w:rPr>
                <w:rFonts w:asciiTheme="minorHAnsi" w:hAnsiTheme="minorHAnsi"/>
                <w:color w:val="000000"/>
              </w:rPr>
              <w:br/>
              <w:t>Parametry graniczne odcinające: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Introducery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do wprowadzania elektrod stałych do stymulatorów serca,</w:t>
            </w:r>
            <w:r w:rsidRPr="00957B6E">
              <w:rPr>
                <w:rFonts w:asciiTheme="minorHAnsi" w:hAnsiTheme="minorHAnsi"/>
                <w:color w:val="000000"/>
              </w:rPr>
              <w:br/>
              <w:t xml:space="preserve">- średnica </w:t>
            </w:r>
            <w:proofErr w:type="spellStart"/>
            <w:r w:rsidRPr="00957B6E">
              <w:rPr>
                <w:rFonts w:asciiTheme="minorHAnsi" w:hAnsiTheme="minorHAnsi"/>
                <w:color w:val="000000"/>
              </w:rPr>
              <w:t>introducerów</w:t>
            </w:r>
            <w:proofErr w:type="spellEnd"/>
            <w:r w:rsidRPr="00957B6E">
              <w:rPr>
                <w:rFonts w:asciiTheme="minorHAnsi" w:hAnsiTheme="minorHAnsi"/>
                <w:color w:val="000000"/>
              </w:rPr>
              <w:t xml:space="preserve"> – do wyboru (7F, 8F, 9F).</w:t>
            </w:r>
          </w:p>
        </w:tc>
        <w:tc>
          <w:tcPr>
            <w:tcW w:w="1843" w:type="dxa"/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  <w:r w:rsidRPr="00957B6E">
              <w:rPr>
                <w:rFonts w:asciiTheme="minorHAnsi" w:hAnsiTheme="minorHAnsi"/>
              </w:rPr>
              <w:t>szt.</w:t>
            </w:r>
          </w:p>
        </w:tc>
        <w:tc>
          <w:tcPr>
            <w:tcW w:w="1134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color w:val="000000"/>
              </w:rPr>
            </w:pPr>
            <w:r w:rsidRPr="00957B6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690" w:type="dxa"/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  <w:tr w:rsidR="00E45C19" w:rsidRPr="00957B6E" w:rsidTr="00957B6E">
        <w:trPr>
          <w:cantSplit/>
        </w:trPr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19" w:rsidRPr="00957B6E" w:rsidRDefault="00E45C19" w:rsidP="00957B6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57B6E">
              <w:rPr>
                <w:rFonts w:asciiTheme="minorHAnsi" w:hAnsiTheme="minorHAnsi"/>
                <w:b/>
                <w:bCs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19" w:rsidRPr="00957B6E" w:rsidRDefault="00E45C19" w:rsidP="00957B6E">
            <w:pPr>
              <w:rPr>
                <w:rFonts w:asciiTheme="minorHAnsi" w:hAnsiTheme="minorHAnsi"/>
              </w:rPr>
            </w:pPr>
          </w:p>
        </w:tc>
      </w:tr>
    </w:tbl>
    <w:p w:rsidR="00E45C19" w:rsidRDefault="00E45C19" w:rsidP="00E45C19"/>
    <w:p w:rsidR="00E25A11" w:rsidRDefault="00E25A11" w:rsidP="00E45C19"/>
    <w:p w:rsidR="00E25A11" w:rsidRDefault="00E25A11" w:rsidP="00E45C19"/>
    <w:p w:rsidR="00E25A11" w:rsidRDefault="00E25A11" w:rsidP="00E45C19"/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UWAGA!!!</w:t>
      </w:r>
    </w:p>
    <w:p w:rsidR="00E45C19" w:rsidRPr="00957B6E" w:rsidRDefault="00E45C19" w:rsidP="00E45C19">
      <w:pPr>
        <w:rPr>
          <w:rFonts w:asciiTheme="minorHAnsi" w:hAnsiTheme="minorHAnsi"/>
          <w:b/>
        </w:rPr>
      </w:pPr>
      <w:r w:rsidRPr="00957B6E">
        <w:rPr>
          <w:rFonts w:asciiTheme="minorHAnsi" w:hAnsiTheme="minorHAnsi"/>
          <w:b/>
        </w:rPr>
        <w:t>Dotyczy poz. 1 i 2</w:t>
      </w:r>
    </w:p>
    <w:p w:rsidR="00E45C19" w:rsidRPr="00957B6E" w:rsidRDefault="00E45C19" w:rsidP="00E45C19">
      <w:pPr>
        <w:rPr>
          <w:rFonts w:asciiTheme="minorHAnsi" w:hAnsiTheme="minorHAnsi"/>
        </w:rPr>
      </w:pPr>
      <w:r w:rsidRPr="00957B6E">
        <w:rPr>
          <w:rFonts w:asciiTheme="minorHAnsi" w:hAnsiTheme="minorHAnsi"/>
        </w:rPr>
        <w:t>Niedopuszczalna jest konieczność korekty (przez operatora) w obrębie dostarczonego sprzętu (np. konieczność wykręcania śrubki mocującej elektrodę do stymulatora) w celu prawidłowego przeprowadzenia zabiegu.</w:t>
      </w:r>
    </w:p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Pr="00957B6E" w:rsidRDefault="00957B6E" w:rsidP="00E45C19">
      <w:pPr>
        <w:rPr>
          <w:rFonts w:asciiTheme="minorHAnsi" w:hAnsiTheme="minorHAnsi"/>
        </w:rPr>
      </w:pPr>
    </w:p>
    <w:tbl>
      <w:tblPr>
        <w:tblW w:w="15020" w:type="dxa"/>
        <w:tblInd w:w="-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7347"/>
        <w:gridCol w:w="3242"/>
        <w:gridCol w:w="3242"/>
      </w:tblGrid>
      <w:tr w:rsidR="00957B6E" w:rsidRPr="00957B6E" w:rsidTr="00E25A11">
        <w:trPr>
          <w:cantSplit/>
          <w:trHeight w:val="461"/>
        </w:trPr>
        <w:tc>
          <w:tcPr>
            <w:tcW w:w="1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Pakiet nr 2</w:t>
            </w: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Parametry podlegające ocenie</w:t>
            </w:r>
          </w:p>
        </w:tc>
      </w:tr>
      <w:tr w:rsidR="00957B6E" w:rsidRPr="00957B6E" w:rsidTr="00E25A11">
        <w:trPr>
          <w:cantSplit/>
          <w:trHeight w:val="461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Nazwa parametru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Punktacja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Parametr oferowany*</w:t>
            </w:r>
          </w:p>
        </w:tc>
      </w:tr>
      <w:tr w:rsidR="00957B6E" w:rsidRPr="00957B6E" w:rsidTr="00E25A11">
        <w:trPr>
          <w:cantSplit/>
          <w:trHeight w:val="32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tabs>
                <w:tab w:val="left" w:pos="0"/>
              </w:tabs>
              <w:ind w:left="360" w:hanging="3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Ilość dodatkowych prowadników (dla elektrod przedsionkowych i komorowych),  (nie liczymy prowadnika umieszczonego „fabrycznie” w elektrodzie)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1 do 2 dodatkowych prowadników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 i więcej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>Możliwość ciągłej ambulatoryjnej oceny skuteczności stymulacji komorowej (dot. Poz. 1 i 2) „beat-beat”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komorowym (dot. Poz. 1 i 2) od 0,5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57B6E" w:rsidRPr="00957B6E" w:rsidTr="00E25A11">
        <w:trPr>
          <w:cantSplit/>
          <w:trHeight w:val="256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6E" w:rsidRPr="00957B6E" w:rsidRDefault="00957B6E" w:rsidP="00957B6E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/>
                <w:sz w:val="24"/>
                <w:szCs w:val="24"/>
              </w:rPr>
              <w:t xml:space="preserve">Możliwość programowania czułości w kanale przedsionkowym (dot. Poz. 2) od 0,1 </w:t>
            </w:r>
            <w:proofErr w:type="spellStart"/>
            <w:r w:rsidRPr="00957B6E">
              <w:rPr>
                <w:rFonts w:asciiTheme="minorHAnsi" w:hAnsiTheme="minorHAnsi"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NIE – 0 pkt.</w:t>
            </w:r>
          </w:p>
          <w:p w:rsidR="00957B6E" w:rsidRPr="00957B6E" w:rsidRDefault="00957B6E" w:rsidP="00957B6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57B6E">
              <w:rPr>
                <w:rFonts w:asciiTheme="minorHAnsi" w:hAnsiTheme="minorHAnsi" w:cs="Arial"/>
                <w:sz w:val="24"/>
                <w:szCs w:val="24"/>
              </w:rPr>
              <w:t>TAK -  10 pkt.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957B6E" w:rsidRDefault="00957B6E" w:rsidP="00957B6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45C19" w:rsidRDefault="00E45C19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Default="00957B6E" w:rsidP="00E45C19">
      <w:pPr>
        <w:rPr>
          <w:rFonts w:asciiTheme="minorHAnsi" w:hAnsiTheme="minorHAnsi"/>
        </w:rPr>
      </w:pPr>
    </w:p>
    <w:p w:rsidR="00957B6E" w:rsidRPr="00957B6E" w:rsidRDefault="00957B6E" w:rsidP="00E45C19">
      <w:pPr>
        <w:rPr>
          <w:rFonts w:asciiTheme="minorHAnsi" w:hAnsiTheme="minorHAnsi"/>
        </w:rPr>
      </w:pPr>
    </w:p>
    <w:p w:rsidR="00E45C19" w:rsidRDefault="00E45C19" w:rsidP="00E45C19"/>
    <w:p w:rsidR="00E45C19" w:rsidRPr="00EF0C34" w:rsidRDefault="00E45C19" w:rsidP="00E45C19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E45C19" w:rsidRPr="00EF0C34" w:rsidRDefault="00E45C19" w:rsidP="00E45C19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E45C19" w:rsidRDefault="00E45C19" w:rsidP="00E45C19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E45C19" w:rsidRPr="00C10938" w:rsidRDefault="00E45C19" w:rsidP="00E45C19">
      <w:pPr>
        <w:ind w:left="4956"/>
        <w:jc w:val="right"/>
        <w:rPr>
          <w:i/>
          <w:iCs/>
          <w:sz w:val="18"/>
          <w:szCs w:val="18"/>
        </w:rPr>
      </w:pPr>
    </w:p>
    <w:p w:rsidR="00E45C19" w:rsidRPr="00DE5A5D" w:rsidRDefault="00E45C19" w:rsidP="00E45C19">
      <w:pPr>
        <w:ind w:left="4956"/>
        <w:rPr>
          <w:i/>
          <w:iCs/>
          <w:sz w:val="18"/>
          <w:szCs w:val="18"/>
        </w:rPr>
        <w:sectPr w:rsidR="00E45C19" w:rsidRPr="00DE5A5D" w:rsidSect="00957B6E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B15EEA" w:rsidRPr="00B15EEA" w:rsidRDefault="009A4B86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20</w:t>
      </w:r>
      <w:r w:rsidR="00B15EEA" w:rsidRPr="00B15EEA">
        <w:rPr>
          <w:rFonts w:asciiTheme="minorHAnsi" w:hAnsiTheme="minorHAnsi"/>
          <w:szCs w:val="24"/>
        </w:rPr>
        <w:t>/2016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3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15EEA" w:rsidRPr="00B15EEA" w:rsidRDefault="00B15EEA" w:rsidP="00B15EEA"/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06E8C" w:rsidRDefault="00B15EEA" w:rsidP="00B15EEA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06E8C">
        <w:rPr>
          <w:rFonts w:asciiTheme="minorHAnsi" w:hAnsiTheme="minorHAnsi"/>
        </w:rPr>
        <w:t>pn</w:t>
      </w:r>
      <w:proofErr w:type="spellEnd"/>
      <w:r w:rsidR="00B06E8C" w:rsidRPr="00B06E8C">
        <w:rPr>
          <w:rFonts w:asciiTheme="minorHAnsi" w:eastAsia="Calibri" w:hAnsiTheme="minorHAnsi"/>
          <w:b/>
          <w:lang w:eastAsia="pl-PL"/>
        </w:rPr>
        <w:t xml:space="preserve"> 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lastRenderedPageBreak/>
        <w:t>OŚWIADCZENIE DOTYCZĄCE PODMIOTU, NA KTÓREGO ZASOBY POWOŁUJE SIĘ WYKONAWCA: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:rsidR="00B15EEA" w:rsidRDefault="00B15EEA" w:rsidP="00B15EEA">
      <w:pPr>
        <w:jc w:val="both"/>
        <w:rPr>
          <w:rFonts w:asciiTheme="minorHAnsi" w:hAnsiTheme="minorHAnsi" w:cs="Arial"/>
        </w:rPr>
      </w:pP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Default="00B15EEA" w:rsidP="00B15EEA">
      <w:pPr>
        <w:rPr>
          <w:rFonts w:asciiTheme="minorHAnsi" w:hAnsiTheme="minorHAnsi"/>
          <w:b/>
        </w:rPr>
      </w:pPr>
    </w:p>
    <w:p w:rsidR="00B7234B" w:rsidRDefault="00B7234B" w:rsidP="00B15EEA">
      <w:pPr>
        <w:rPr>
          <w:rFonts w:asciiTheme="minorHAnsi" w:hAnsiTheme="minorHAnsi"/>
          <w:b/>
        </w:rPr>
      </w:pPr>
    </w:p>
    <w:p w:rsidR="00B7234B" w:rsidRPr="00B15EEA" w:rsidRDefault="00B7234B" w:rsidP="00B15EEA">
      <w:pPr>
        <w:rPr>
          <w:rFonts w:asciiTheme="minorHAnsi" w:hAnsiTheme="minorHAnsi"/>
          <w:b/>
        </w:rPr>
      </w:pPr>
    </w:p>
    <w:p w:rsidR="00B15EEA" w:rsidRPr="00B15EEA" w:rsidRDefault="00B15EEA" w:rsidP="00B15EEA">
      <w:pPr>
        <w:rPr>
          <w:rFonts w:asciiTheme="minorHAnsi" w:hAnsiTheme="minorHAnsi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:rsidR="00B7234B" w:rsidRDefault="00B7234B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:rsidR="00B15EEA" w:rsidRDefault="00B15EEA" w:rsidP="00B15EEA">
      <w:pPr>
        <w:ind w:left="4956" w:firstLine="69"/>
        <w:jc w:val="center"/>
        <w:sectPr w:rsidR="00B15EEA" w:rsidSect="00E45C19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:rsidR="00B7234B" w:rsidRPr="00B15EEA" w:rsidRDefault="009A4B86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20</w:t>
      </w:r>
      <w:r w:rsidR="00B7234B" w:rsidRPr="00B15EEA">
        <w:rPr>
          <w:rFonts w:asciiTheme="minorHAnsi" w:hAnsiTheme="minorHAnsi"/>
          <w:szCs w:val="24"/>
        </w:rPr>
        <w:t>/2016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4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 w Bydgoszczy</w:t>
      </w:r>
    </w:p>
    <w:p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06E8C" w:rsidRDefault="00B7234B" w:rsidP="00B7234B">
      <w:pPr>
        <w:jc w:val="both"/>
        <w:rPr>
          <w:rFonts w:asciiTheme="minorHAnsi" w:hAnsiTheme="minorHAnsi"/>
        </w:rPr>
      </w:pPr>
      <w:r w:rsidRPr="00B06E8C">
        <w:rPr>
          <w:rFonts w:asciiTheme="minorHAnsi" w:hAnsiTheme="minorHAnsi"/>
        </w:rPr>
        <w:t xml:space="preserve">Na potrzeby postępowania o udzielenie zamówienia publicznego pn. </w:t>
      </w:r>
      <w:r w:rsidR="00B06E8C" w:rsidRPr="00B06E8C">
        <w:rPr>
          <w:rFonts w:asciiTheme="minorHAnsi" w:eastAsia="Calibri" w:hAnsiTheme="minorHAnsi"/>
          <w:b/>
          <w:lang w:eastAsia="pl-PL"/>
        </w:rPr>
        <w:t xml:space="preserve">Zakup i dostawa stymulatorów jednojamowych, dwujamowych, elektrod do stymulatorów  oraz </w:t>
      </w:r>
      <w:proofErr w:type="spellStart"/>
      <w:r w:rsidR="00B06E8C" w:rsidRPr="00B06E8C">
        <w:rPr>
          <w:rFonts w:asciiTheme="minorHAnsi" w:eastAsia="Calibri" w:hAnsiTheme="minorHAnsi"/>
          <w:b/>
          <w:lang w:eastAsia="pl-PL"/>
        </w:rPr>
        <w:t>introducerów</w:t>
      </w:r>
      <w:proofErr w:type="spellEnd"/>
      <w:r w:rsidRPr="00B06E8C">
        <w:rPr>
          <w:rFonts w:asciiTheme="minorHAnsi" w:hAnsiTheme="minorHAnsi"/>
        </w:rPr>
        <w:t>, oświadczam, co następuje: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45C19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:rsidR="006938B2" w:rsidRPr="006938B2" w:rsidRDefault="009A4B86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20</w:t>
      </w:r>
      <w:r w:rsidR="006938B2" w:rsidRPr="006938B2">
        <w:rPr>
          <w:rFonts w:asciiTheme="minorHAnsi" w:hAnsiTheme="minorHAnsi"/>
          <w:szCs w:val="24"/>
        </w:rPr>
        <w:t>/2016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5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</w:p>
    <w:p w:rsidR="006938B2" w:rsidRPr="006938B2" w:rsidRDefault="006938B2" w:rsidP="00D12F01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6938B2" w:rsidRPr="006938B2" w:rsidRDefault="006938B2" w:rsidP="006938B2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6938B2" w:rsidRPr="006938B2" w:rsidRDefault="006938B2" w:rsidP="006938B2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6938B2" w:rsidRPr="00772377" w:rsidRDefault="006938B2" w:rsidP="006938B2">
      <w:pPr>
        <w:rPr>
          <w:rFonts w:ascii="Arial Narrow" w:hAnsi="Arial Narrow" w:cs="Arial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45C19">
          <w:headerReference w:type="default" r:id="rId13"/>
          <w:footerReference w:type="default" r:id="rId14"/>
          <w:footerReference w:type="first" r:id="rId15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7A14E8" w:rsidRPr="007A14E8" w:rsidRDefault="007A14E8" w:rsidP="007A14E8">
      <w:pPr>
        <w:rPr>
          <w:rFonts w:asciiTheme="minorHAnsi" w:hAnsiTheme="minorHAnsi"/>
        </w:r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9A4B86">
        <w:rPr>
          <w:rFonts w:asciiTheme="minorHAnsi" w:hAnsiTheme="minorHAnsi"/>
          <w:szCs w:val="24"/>
        </w:rPr>
        <w:t>20/</w:t>
      </w:r>
      <w:r w:rsidRPr="007A14E8">
        <w:rPr>
          <w:rFonts w:asciiTheme="minorHAnsi" w:hAnsiTheme="minorHAnsi"/>
          <w:szCs w:val="24"/>
        </w:rPr>
        <w:t>201</w:t>
      </w:r>
      <w:r w:rsidR="007F3AB6" w:rsidRPr="007A14E8">
        <w:rPr>
          <w:rFonts w:asciiTheme="minorHAnsi" w:hAnsiTheme="minorHAnsi"/>
          <w:szCs w:val="24"/>
        </w:rPr>
        <w:t>6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B06E8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7A14E8">
        <w:rPr>
          <w:rFonts w:asciiTheme="minorHAnsi" w:hAnsiTheme="minorHAnsi"/>
          <w:b/>
          <w:sz w:val="22"/>
          <w:szCs w:val="22"/>
          <w:u w:val="single"/>
        </w:rPr>
        <w:t>GŁÓWNE POSTANOWIENIA UMOWY</w:t>
      </w: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</w:p>
    <w:p w:rsidR="001C0BA6" w:rsidRPr="007A14E8" w:rsidRDefault="001C0BA6" w:rsidP="001C0BA6">
      <w:pPr>
        <w:jc w:val="center"/>
        <w:rPr>
          <w:rFonts w:asciiTheme="minorHAnsi" w:hAnsiTheme="minorHAnsi"/>
          <w:sz w:val="22"/>
          <w:szCs w:val="22"/>
        </w:rPr>
      </w:pPr>
      <w:r w:rsidRPr="007A14E8">
        <w:rPr>
          <w:rFonts w:asciiTheme="minorHAnsi" w:hAnsiTheme="minorHAnsi"/>
          <w:sz w:val="22"/>
          <w:szCs w:val="22"/>
        </w:rPr>
        <w:t>UMOWA NR ……………..</w:t>
      </w: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zawarta w dniu           201</w:t>
      </w:r>
      <w:r w:rsidR="007F3AB6" w:rsidRPr="00B06E8C">
        <w:rPr>
          <w:rFonts w:asciiTheme="minorHAnsi" w:hAnsiTheme="minorHAnsi"/>
          <w:sz w:val="24"/>
          <w:szCs w:val="24"/>
        </w:rPr>
        <w:t>6</w:t>
      </w:r>
      <w:r w:rsidRPr="00B06E8C">
        <w:rPr>
          <w:rFonts w:asciiTheme="minorHAnsi" w:hAnsiTheme="minorHAnsi"/>
          <w:sz w:val="24"/>
          <w:szCs w:val="24"/>
        </w:rPr>
        <w:t xml:space="preserve"> roku</w:t>
      </w:r>
      <w:r w:rsidRPr="00B06E8C">
        <w:rPr>
          <w:rFonts w:asciiTheme="minorHAnsi" w:hAnsiTheme="minorHAnsi"/>
          <w:b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B06E8C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w Bydgoszczy, adres ul.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B06E8C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B06E8C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reprezentowanym przez: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B06E8C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B06E8C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B06E8C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B06E8C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a</w:t>
      </w:r>
    </w:p>
    <w:p w:rsidR="00894394" w:rsidRPr="00B06E8C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/>
          <w:sz w:val="24"/>
          <w:szCs w:val="24"/>
        </w:rPr>
        <w:t>…………..</w:t>
      </w:r>
      <w:r w:rsidRPr="00B06E8C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B06E8C">
        <w:rPr>
          <w:rFonts w:asciiTheme="minorHAnsi" w:hAnsiTheme="minorHAnsi"/>
          <w:b/>
          <w:sz w:val="24"/>
          <w:szCs w:val="24"/>
        </w:rPr>
        <w:t xml:space="preserve">KRS:  </w:t>
      </w:r>
      <w:r w:rsidRPr="00B06E8C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B06E8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B06E8C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B06E8C">
        <w:rPr>
          <w:rFonts w:asciiTheme="minorHAnsi" w:hAnsiTheme="minorHAnsi"/>
          <w:sz w:val="24"/>
          <w:szCs w:val="24"/>
        </w:rPr>
        <w:t xml:space="preserve">na </w:t>
      </w:r>
      <w:r w:rsidRPr="00B06E8C">
        <w:rPr>
          <w:rFonts w:asciiTheme="minorHAnsi" w:hAnsiTheme="minorHAnsi"/>
          <w:b/>
          <w:sz w:val="24"/>
          <w:szCs w:val="24"/>
        </w:rPr>
        <w:t xml:space="preserve">zakup i dostawę stymulatorów jednojamowych i dwujamowych, elektrod do stymulatorów oraz </w:t>
      </w:r>
      <w:proofErr w:type="spellStart"/>
      <w:r w:rsidRPr="00B06E8C">
        <w:rPr>
          <w:rFonts w:asciiTheme="minorHAnsi" w:hAnsiTheme="minorHAnsi"/>
          <w:b/>
          <w:sz w:val="24"/>
          <w:szCs w:val="24"/>
        </w:rPr>
        <w:t>introducerów</w:t>
      </w:r>
      <w:proofErr w:type="spellEnd"/>
      <w:r w:rsidR="009A4B86">
        <w:rPr>
          <w:rFonts w:asciiTheme="minorHAnsi" w:hAnsiTheme="minorHAnsi"/>
          <w:sz w:val="24"/>
          <w:szCs w:val="24"/>
        </w:rPr>
        <w:t xml:space="preserve"> (20</w:t>
      </w:r>
      <w:r w:rsidRPr="00B06E8C">
        <w:rPr>
          <w:rFonts w:asciiTheme="minorHAnsi" w:hAnsiTheme="minorHAnsi"/>
          <w:sz w:val="24"/>
          <w:szCs w:val="24"/>
        </w:rPr>
        <w:t>/201</w:t>
      </w:r>
      <w:r w:rsidR="00E45C19">
        <w:rPr>
          <w:rFonts w:asciiTheme="minorHAnsi" w:hAnsiTheme="minorHAnsi"/>
          <w:sz w:val="24"/>
          <w:szCs w:val="24"/>
        </w:rPr>
        <w:t>6</w:t>
      </w:r>
      <w:r w:rsidRPr="00B06E8C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), Strony zawierają umowę następującej treści:</w:t>
      </w:r>
    </w:p>
    <w:p w:rsidR="00B06E8C" w:rsidRPr="00B06E8C" w:rsidRDefault="00B06E8C" w:rsidP="00B06E8C">
      <w:pPr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1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zobowiązuje się do sprzedaży i dostarczania Zamawiającemu przedmiotu zamówienia objętego pakietem nr </w:t>
      </w:r>
      <w:r w:rsidRPr="00B06E8C">
        <w:rPr>
          <w:rFonts w:asciiTheme="minorHAnsi" w:hAnsiTheme="minorHAnsi"/>
          <w:b/>
          <w:sz w:val="24"/>
          <w:szCs w:val="24"/>
        </w:rPr>
        <w:t xml:space="preserve">… </w:t>
      </w:r>
      <w:r w:rsidRPr="00B06E8C">
        <w:rPr>
          <w:rFonts w:asciiTheme="minorHAnsi" w:hAnsiTheme="minorHAnsi"/>
          <w:sz w:val="24"/>
          <w:szCs w:val="24"/>
        </w:rPr>
        <w:t>zwanego w dalszej części umowy „towarem”, w ilości i asortymencie określonym w załączniku do umowy.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dostaw stymulatorów zobowiązany jest dostarczać również papier do drukarki programatora (2 ryzy x miesiąc).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wykonania przedmiotu zamówienia zobowiązany jest dostarczyć programator do programowania stymulatorów serca na czas nieokreślony.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 ramach umowy zobowiązany jest do szkolenia personelu w zakresie elektrostymulacji serca.</w:t>
      </w:r>
    </w:p>
    <w:p w:rsidR="00B06E8C" w:rsidRPr="00B06E8C" w:rsidRDefault="00B06E8C" w:rsidP="00D12F01">
      <w:pPr>
        <w:pStyle w:val="Akapitzlist"/>
        <w:numPr>
          <w:ilvl w:val="0"/>
          <w:numId w:val="45"/>
        </w:numPr>
        <w:ind w:left="426" w:right="23"/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wraz z pierwszą dostawą zobowiązany jest przedstawić jaka jest ścieżka postępowania ze zużytymi stymulatorami oraz podać kod odpadu.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2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realizować będzie dostawy sukcesywnie, zgodnie z zamówieniami składanymi przez Zamawiającego, w zależności od zapotrzebowania na towar i możliwości finansowych Zamawiającego.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Transport towaru do miejsca wskazanego przez Zamawiającego (</w:t>
      </w:r>
      <w:proofErr w:type="spellStart"/>
      <w:r w:rsidRPr="00B06E8C">
        <w:rPr>
          <w:rFonts w:asciiTheme="minorHAnsi" w:hAnsiTheme="minorHAnsi"/>
          <w:sz w:val="24"/>
          <w:szCs w:val="24"/>
        </w:rPr>
        <w:t>loco</w:t>
      </w:r>
      <w:proofErr w:type="spellEnd"/>
      <w:r w:rsidRPr="00B06E8C">
        <w:rPr>
          <w:rFonts w:asciiTheme="minorHAnsi" w:hAnsiTheme="minorHAnsi"/>
          <w:sz w:val="24"/>
          <w:szCs w:val="24"/>
        </w:rPr>
        <w:t xml:space="preserve"> magazyn Działu Farmacji Szpitalnej) przy każdorazowym zamówieniu, odbywać się będzie transportem </w:t>
      </w:r>
      <w:r w:rsidRPr="00B06E8C">
        <w:rPr>
          <w:rFonts w:asciiTheme="minorHAnsi" w:hAnsiTheme="minorHAnsi"/>
          <w:sz w:val="24"/>
          <w:szCs w:val="24"/>
        </w:rPr>
        <w:lastRenderedPageBreak/>
        <w:t>własnym Wykonawcy lub za pośrednictwem profesjonalnej firmy przewozowej, na jego koszt i ryzyko.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Wielkość zamówień może ulegać zmianom w zależności od okoliczności, o których mowa w ust. 1.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Wykonawcę obciążają koszty wydania towaru, w tym w szczególności koszty opakowania, ubezpieczenia za czas przewozu oraz wszelkie koszty transportu lub przesłania.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Terminy dostaw będą wyznaczane każdorazowo przez Zamawiającego w zależności od okoliczności, o których mowa w ust. 1. Maksymalny czas realizacji zamówienia nie może przekroczyć 3 dni od dnia złożenia zamówienia. Jeżeli dostawa wypada w dniu wolnym od pracy, dostawa nastąpi w pierwszym dniu roboczym po wyznaczonym terminie.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Wykonawca zawiadomi Zamawiającego z jednodniowym wyprzedzeniem o terminie dostawy. 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Powiadomienia o zamówieniu i jego realizacji mogą być dokonane w formie telefonicznej, faksowej lub pisemnie.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dostarczonego towaru i żądanie niezwłocznej wymiany na wolny od wad w przypadku:</w:t>
      </w:r>
    </w:p>
    <w:p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złej jakości,</w:t>
      </w:r>
    </w:p>
    <w:p w:rsidR="00B06E8C" w:rsidRPr="00B06E8C" w:rsidRDefault="00B06E8C" w:rsidP="00D12F01">
      <w:pPr>
        <w:numPr>
          <w:ilvl w:val="0"/>
          <w:numId w:val="44"/>
        </w:numPr>
        <w:ind w:left="709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dostarczenia towaru niezgodnego z umową/zamówieniem.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odmowy przyjęcia towaru dostarczonego z opóźnieniem.</w:t>
      </w:r>
    </w:p>
    <w:p w:rsidR="00B06E8C" w:rsidRPr="00B06E8C" w:rsidRDefault="00B06E8C" w:rsidP="00D12F01">
      <w:pPr>
        <w:widowControl/>
        <w:numPr>
          <w:ilvl w:val="0"/>
          <w:numId w:val="36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zobowiązuje się do dostarczenia towaru z zachowaniem, co najmniej 12- miesięcznego terminu trwałości oferowanych wyrobów, licząc od dnia dostawy.</w:t>
      </w:r>
    </w:p>
    <w:p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</w:p>
    <w:p w:rsidR="00B06E8C" w:rsidRPr="00B06E8C" w:rsidRDefault="00B06E8C" w:rsidP="00B06E8C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§ 3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Całkowita wartość umowy stanowi kwotę </w:t>
      </w:r>
      <w:r w:rsidRPr="00B06E8C">
        <w:rPr>
          <w:rFonts w:asciiTheme="minorHAnsi" w:hAnsiTheme="minorHAnsi"/>
          <w:b/>
          <w:sz w:val="24"/>
          <w:szCs w:val="24"/>
        </w:rPr>
        <w:t>.............. zł</w:t>
      </w:r>
      <w:r w:rsidRPr="00B06E8C">
        <w:rPr>
          <w:rFonts w:asciiTheme="minorHAnsi" w:hAnsiTheme="minorHAnsi"/>
          <w:sz w:val="24"/>
          <w:szCs w:val="24"/>
        </w:rPr>
        <w:t xml:space="preserve"> brutto (słownie zł: ………………….……….……).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gwarantuje stałość cen przez okres trwania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Strony dopuszczają obniżenie cen z przyczyn leżących po stronie producenta lub Wykonawcy (np. okresowe ceny promocyjne).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bCs/>
          <w:sz w:val="24"/>
          <w:szCs w:val="24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zobowiązuje się do zapłaty należności w terminie 30 dni od daty przyjęcia towaru do magazynu i otrzymania faktury wystawionej zgodnie z warunkami niniejszej umowy.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za każdorazową dostawę zrealizowaną przez Wykonawcę, stosownie do składanych przez Zamawiającego zamówień.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Zapłata należności dokonywana będzie przelewem na konto bankowe Wykonawcy podane na fakturze VAT.</w:t>
      </w:r>
    </w:p>
    <w:p w:rsidR="00B06E8C" w:rsidRPr="00B06E8C" w:rsidRDefault="00B06E8C" w:rsidP="00D12F01">
      <w:pPr>
        <w:widowControl/>
        <w:numPr>
          <w:ilvl w:val="0"/>
          <w:numId w:val="37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 termin zapłaty strony uznają datę obciążenia rachunku bankowego Zamawiającego.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4</w:t>
      </w:r>
    </w:p>
    <w:p w:rsidR="00B06E8C" w:rsidRPr="00B06E8C" w:rsidRDefault="00B06E8C" w:rsidP="00D12F01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B06E8C" w:rsidRPr="00B06E8C" w:rsidRDefault="00B06E8C" w:rsidP="00D12F01">
      <w:pPr>
        <w:pStyle w:val="Tekstpodstawowy2"/>
        <w:numPr>
          <w:ilvl w:val="0"/>
          <w:numId w:val="38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Reklamacja winna zostać załatwiona przez Wykonawcę w terminie nie dłuższym niż 3 dni robocze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5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opóźnienia w dostawie towaru ponad termin ustalony w § 2 ust.5, a także</w:t>
      </w:r>
      <w:r w:rsidRPr="00B06E8C">
        <w:rPr>
          <w:rFonts w:asciiTheme="minorHAnsi" w:hAnsiTheme="minorHAnsi"/>
          <w:color w:val="00B0F0"/>
          <w:sz w:val="24"/>
          <w:szCs w:val="24"/>
        </w:rPr>
        <w:t xml:space="preserve"> </w:t>
      </w:r>
      <w:r w:rsidRPr="00B06E8C">
        <w:rPr>
          <w:rFonts w:asciiTheme="minorHAnsi" w:hAnsiTheme="minorHAnsi"/>
          <w:sz w:val="24"/>
          <w:szCs w:val="24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Podstawę do ustalenia wysokości kary umownej stanowi wartość brutto niedostarczonego, niezgodnego lub reklamowanego towaru.</w:t>
      </w:r>
    </w:p>
    <w:p w:rsidR="00B06E8C" w:rsidRPr="00B06E8C" w:rsidRDefault="00B06E8C" w:rsidP="00D12F01">
      <w:pPr>
        <w:widowControl/>
        <w:numPr>
          <w:ilvl w:val="0"/>
          <w:numId w:val="39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6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będzie realizować jedynie zamówienia złożone przez uprawnionego pracownika Zamawiającego – Lidię Kłosowską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7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W takim przypadku </w:t>
      </w:r>
      <w:r w:rsidRPr="00B06E8C">
        <w:rPr>
          <w:rFonts w:asciiTheme="minorHAnsi" w:hAnsiTheme="minorHAnsi"/>
          <w:bCs/>
          <w:sz w:val="24"/>
          <w:szCs w:val="24"/>
        </w:rPr>
        <w:t>Wykonawcy</w:t>
      </w:r>
      <w:r w:rsidRPr="00B06E8C">
        <w:rPr>
          <w:rFonts w:asciiTheme="minorHAnsi" w:hAnsiTheme="minorHAnsi"/>
          <w:sz w:val="24"/>
          <w:szCs w:val="24"/>
        </w:rPr>
        <w:t xml:space="preserve"> przysługuje jedynie wynagrodzenie za zrealizowaną, zgodnie z postanowieniami niniejszej umowy, część dostaw.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lastRenderedPageBreak/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B06E8C" w:rsidRPr="00B06E8C" w:rsidRDefault="00B06E8C" w:rsidP="00D12F01">
      <w:pPr>
        <w:widowControl/>
        <w:numPr>
          <w:ilvl w:val="0"/>
          <w:numId w:val="40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Odstąpienie od umowy winno nastąpić w formie pisemnej pod rygorem nieważności takiego oświadczenia i powinno zawierać uzasadnienie.</w:t>
      </w: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8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Zamawiającemu przysługuje prawo rozwiązania umowy bez zachowania okresu wypowiedzenia, w przypadku, gdy:</w:t>
      </w:r>
    </w:p>
    <w:p w:rsidR="00B06E8C" w:rsidRPr="00B06E8C" w:rsidRDefault="00B06E8C" w:rsidP="00D12F01">
      <w:pPr>
        <w:pStyle w:val="Tekstpodstawowywcity2"/>
        <w:widowControl/>
        <w:numPr>
          <w:ilvl w:val="1"/>
          <w:numId w:val="42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wszczęto postępowanie o ogłoszenie upadłości, postępowanie naprawcze lub w przypadku likwidacji działalności Wykonawcy,</w:t>
      </w:r>
    </w:p>
    <w:p w:rsidR="00B06E8C" w:rsidRPr="00B06E8C" w:rsidRDefault="00B06E8C" w:rsidP="00D12F01">
      <w:pPr>
        <w:pStyle w:val="Tekstpodstawowy2"/>
        <w:numPr>
          <w:ilvl w:val="1"/>
          <w:numId w:val="42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reklamacji.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Oświadczenie o rozwiązaniu umowy winno zostać sporządzone na piśmie pod rygorem nieważności i wskazywać przyczynę.</w:t>
      </w:r>
    </w:p>
    <w:p w:rsidR="00B06E8C" w:rsidRPr="00B06E8C" w:rsidRDefault="00B06E8C" w:rsidP="00D12F01">
      <w:pPr>
        <w:widowControl/>
        <w:numPr>
          <w:ilvl w:val="0"/>
          <w:numId w:val="41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9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10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 xml:space="preserve">Umowa została zawarta na czas określony od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do dnia </w:t>
      </w:r>
      <w:r w:rsidRPr="00B06E8C">
        <w:rPr>
          <w:rFonts w:asciiTheme="minorHAnsi" w:hAnsiTheme="minorHAnsi"/>
          <w:b/>
          <w:sz w:val="24"/>
          <w:szCs w:val="24"/>
        </w:rPr>
        <w:t>..................</w:t>
      </w:r>
      <w:r w:rsidRPr="00B06E8C">
        <w:rPr>
          <w:rFonts w:asciiTheme="minorHAnsi" w:hAnsiTheme="minorHAnsi"/>
          <w:sz w:val="24"/>
          <w:szCs w:val="24"/>
        </w:rPr>
        <w:t xml:space="preserve"> z zastrzeżeniem ustępu 2. niniejszego paragrafu.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Umowa wygasa w przypadku dostarczenia Zamawiającemu towaru opisanego w § 1 o wartości określonej w umowie.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Ewentualne zmiany umowy w będą sporządzone wyłącznie w formie pisemnego aneksu, pod rygorem nieważności tych zmian.</w:t>
      </w:r>
    </w:p>
    <w:p w:rsidR="00B06E8C" w:rsidRPr="00B06E8C" w:rsidRDefault="00B06E8C" w:rsidP="00D12F01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Załącznik do umowy (formularz cenowy z oferty przetargowej Wykonawcy) stanowi jej integralną część.</w:t>
      </w:r>
    </w:p>
    <w:p w:rsidR="00B06E8C" w:rsidRPr="00B06E8C" w:rsidRDefault="00B06E8C" w:rsidP="00B06E8C">
      <w:pPr>
        <w:tabs>
          <w:tab w:val="left" w:pos="4140"/>
        </w:tabs>
        <w:ind w:right="23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11</w:t>
      </w:r>
    </w:p>
    <w:p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12</w:t>
      </w:r>
    </w:p>
    <w:p w:rsidR="00B06E8C" w:rsidRPr="00B06E8C" w:rsidRDefault="00B06E8C" w:rsidP="00B06E8C">
      <w:pPr>
        <w:tabs>
          <w:tab w:val="left" w:pos="4320"/>
          <w:tab w:val="left" w:pos="5040"/>
        </w:tabs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W sprawach nieuregulowanych niniejszą umową stosuje się przepisy Ustawy z dnia 29 stycznia 2004r. Prawo zamówień publicznych (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j.t. Dz. U. z 2015 poz. 2164 z </w:t>
      </w:r>
      <w:proofErr w:type="spellStart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późn</w:t>
      </w:r>
      <w:proofErr w:type="spellEnd"/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 xml:space="preserve">. 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z</w:t>
      </w:r>
      <w:r w:rsidR="00E45C19" w:rsidRPr="00166826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m</w:t>
      </w:r>
      <w:r w:rsidR="00E45C1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B06E8C">
        <w:rPr>
          <w:rFonts w:asciiTheme="minorHAnsi" w:hAnsiTheme="minorHAnsi"/>
          <w:sz w:val="24"/>
          <w:szCs w:val="24"/>
        </w:rPr>
        <w:t>) oraz Kodeksu Cywilnego.</w:t>
      </w:r>
    </w:p>
    <w:p w:rsidR="00B06E8C" w:rsidRPr="00B06E8C" w:rsidRDefault="00B06E8C" w:rsidP="00B06E8C">
      <w:pPr>
        <w:jc w:val="center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§ 13</w:t>
      </w:r>
    </w:p>
    <w:p w:rsidR="00B06E8C" w:rsidRPr="00B06E8C" w:rsidRDefault="00B06E8C" w:rsidP="00B06E8C">
      <w:pPr>
        <w:jc w:val="both"/>
        <w:rPr>
          <w:rFonts w:asciiTheme="minorHAnsi" w:hAnsiTheme="minorHAnsi"/>
          <w:sz w:val="24"/>
          <w:szCs w:val="24"/>
        </w:rPr>
      </w:pPr>
      <w:r w:rsidRPr="00B06E8C">
        <w:rPr>
          <w:rFonts w:asciiTheme="minorHAnsi" w:hAnsiTheme="minorHAnsi"/>
          <w:sz w:val="24"/>
          <w:szCs w:val="24"/>
        </w:rPr>
        <w:t>Umowę sporządzono w dwóch jednobrzmiących egzemplarzach, po jednym egzemplarzu dla każdej ze Stron.</w:t>
      </w:r>
    </w:p>
    <w:p w:rsidR="00661003" w:rsidRPr="00920AFE" w:rsidRDefault="00894394" w:rsidP="00957B6E">
      <w:pPr>
        <w:rPr>
          <w:rFonts w:asciiTheme="minorHAnsi" w:hAnsiTheme="minorHAnsi"/>
        </w:rPr>
      </w:pPr>
      <w:r w:rsidRPr="007A14E8">
        <w:rPr>
          <w:rFonts w:asciiTheme="minorHAnsi" w:hAnsiTheme="minorHAnsi"/>
          <w:color w:val="000000"/>
          <w:sz w:val="24"/>
          <w:szCs w:val="24"/>
        </w:rPr>
        <w:t xml:space="preserve">         ZAMAWIAJĄCY</w:t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</w:r>
      <w:r w:rsidRPr="007A14E8">
        <w:rPr>
          <w:rFonts w:asciiTheme="minorHAnsi" w:hAnsiTheme="minorHAnsi"/>
          <w:color w:val="000000"/>
          <w:sz w:val="24"/>
          <w:szCs w:val="24"/>
        </w:rPr>
        <w:tab/>
        <w:t xml:space="preserve">       WYKONAWCA </w:t>
      </w:r>
    </w:p>
    <w:sectPr w:rsidR="00661003" w:rsidRPr="00920AFE" w:rsidSect="00E45C19">
      <w:headerReference w:type="default" r:id="rId16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42A" w:rsidRDefault="0031742A">
      <w:r>
        <w:separator/>
      </w:r>
    </w:p>
  </w:endnote>
  <w:endnote w:type="continuationSeparator" w:id="0">
    <w:p w:rsidR="0031742A" w:rsidRDefault="0031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Default="00957B6E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C41B0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C41B0">
      <w:rPr>
        <w:b/>
        <w:noProof/>
      </w:rPr>
      <w:t>27</w:t>
    </w:r>
    <w:r>
      <w:rPr>
        <w:b/>
        <w:sz w:val="24"/>
        <w:szCs w:val="24"/>
      </w:rPr>
      <w:fldChar w:fldCharType="end"/>
    </w:r>
  </w:p>
  <w:p w:rsidR="00957B6E" w:rsidRDefault="00957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Pr="00FF06CF" w:rsidRDefault="00957B6E" w:rsidP="007A14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Default="00957B6E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3C41B0">
      <w:rPr>
        <w:rFonts w:ascii="Tahoma" w:hAnsi="Tahoma" w:cs="Tahoma"/>
        <w:noProof/>
      </w:rPr>
      <w:t>24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3C41B0">
      <w:rPr>
        <w:rFonts w:ascii="Tahoma" w:hAnsi="Tahoma" w:cs="Tahoma"/>
        <w:noProof/>
      </w:rPr>
      <w:t>27</w:t>
    </w:r>
    <w:r w:rsidRPr="00871C20">
      <w:rPr>
        <w:rFonts w:ascii="Tahoma" w:hAnsi="Tahoma" w:cs="Tahoma"/>
      </w:rPr>
      <w:fldChar w:fldCharType="end"/>
    </w:r>
  </w:p>
  <w:p w:rsidR="00957B6E" w:rsidRDefault="00E25A11" w:rsidP="007A14E8">
    <w:pPr>
      <w:pStyle w:val="Stopka"/>
      <w:jc w:val="right"/>
      <w:rPr>
        <w:rFonts w:ascii="Tahoma" w:hAnsi="Tahoma" w:cs="Tahoma"/>
      </w:rPr>
    </w:pPr>
    <w:r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943600" cy="0"/>
              <wp:effectExtent l="9525" t="5080" r="952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9D244" id="Line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bB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"/>
          </w:pict>
        </mc:Fallback>
      </mc:AlternateContent>
    </w:r>
  </w:p>
  <w:p w:rsidR="00957B6E" w:rsidRPr="00871C20" w:rsidRDefault="00957B6E" w:rsidP="007A14E8">
    <w:pPr>
      <w:pStyle w:val="Stopka"/>
      <w:jc w:val="center"/>
      <w:rPr>
        <w:rFonts w:ascii="Tahoma" w:hAnsi="Tahoma" w:cs="Tahoma"/>
      </w:rPr>
    </w:pPr>
    <w:r>
      <w:rPr>
        <w:rFonts w:ascii="Tahoma" w:hAnsi="Tahoma" w:cs="Tahoma"/>
      </w:rPr>
      <w:t>Zaproszenie do negocjacji – postępowanie nr 23/BAF -VI/WR/07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42A" w:rsidRDefault="0031742A">
      <w:r>
        <w:separator/>
      </w:r>
    </w:p>
  </w:footnote>
  <w:footnote w:type="continuationSeparator" w:id="0">
    <w:p w:rsidR="0031742A" w:rsidRDefault="0031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Default="00957B6E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Pr="00B7234B" w:rsidRDefault="00957B6E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Pr="006938B2" w:rsidRDefault="00957B6E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6E" w:rsidRPr="00B7234B" w:rsidRDefault="00957B6E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261701"/>
    <w:multiLevelType w:val="hybridMultilevel"/>
    <w:tmpl w:val="FC503742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3F6693"/>
    <w:multiLevelType w:val="hybridMultilevel"/>
    <w:tmpl w:val="E5E07368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CAC82C">
      <w:start w:val="1"/>
      <w:numFmt w:val="lowerLetter"/>
      <w:lvlText w:val="%3)"/>
      <w:lvlJc w:val="left"/>
      <w:pPr>
        <w:ind w:left="2340" w:hanging="360"/>
      </w:pPr>
      <w:rPr>
        <w:rFonts w:hint="default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EDC6B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5CF03C36"/>
    <w:multiLevelType w:val="hybridMultilevel"/>
    <w:tmpl w:val="755CD528"/>
    <w:lvl w:ilvl="0" w:tplc="F2AAFE90">
      <w:start w:val="1"/>
      <w:numFmt w:val="decimal"/>
      <w:lvlText w:val="%1)"/>
      <w:lvlJc w:val="left"/>
      <w:pPr>
        <w:ind w:left="1713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6E53E82"/>
    <w:multiLevelType w:val="hybridMultilevel"/>
    <w:tmpl w:val="7DE43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DA18A2"/>
    <w:multiLevelType w:val="hybridMultilevel"/>
    <w:tmpl w:val="69CC5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6"/>
  </w:num>
  <w:num w:numId="6">
    <w:abstractNumId w:val="46"/>
  </w:num>
  <w:num w:numId="7">
    <w:abstractNumId w:val="23"/>
  </w:num>
  <w:num w:numId="8">
    <w:abstractNumId w:val="42"/>
  </w:num>
  <w:num w:numId="9">
    <w:abstractNumId w:val="44"/>
  </w:num>
  <w:num w:numId="10">
    <w:abstractNumId w:val="56"/>
  </w:num>
  <w:num w:numId="11">
    <w:abstractNumId w:val="34"/>
  </w:num>
  <w:num w:numId="12">
    <w:abstractNumId w:val="25"/>
  </w:num>
  <w:num w:numId="13">
    <w:abstractNumId w:val="52"/>
  </w:num>
  <w:num w:numId="14">
    <w:abstractNumId w:val="40"/>
  </w:num>
  <w:num w:numId="15">
    <w:abstractNumId w:val="57"/>
  </w:num>
  <w:num w:numId="16">
    <w:abstractNumId w:val="21"/>
  </w:num>
  <w:num w:numId="17">
    <w:abstractNumId w:val="35"/>
  </w:num>
  <w:num w:numId="18">
    <w:abstractNumId w:val="33"/>
  </w:num>
  <w:num w:numId="19">
    <w:abstractNumId w:val="50"/>
  </w:num>
  <w:num w:numId="20">
    <w:abstractNumId w:val="20"/>
  </w:num>
  <w:num w:numId="21">
    <w:abstractNumId w:val="19"/>
  </w:num>
  <w:num w:numId="22">
    <w:abstractNumId w:val="29"/>
  </w:num>
  <w:num w:numId="23">
    <w:abstractNumId w:val="48"/>
  </w:num>
  <w:num w:numId="24">
    <w:abstractNumId w:val="30"/>
  </w:num>
  <w:num w:numId="25">
    <w:abstractNumId w:val="53"/>
  </w:num>
  <w:num w:numId="26">
    <w:abstractNumId w:val="32"/>
  </w:num>
  <w:num w:numId="27">
    <w:abstractNumId w:val="5"/>
  </w:num>
  <w:num w:numId="28">
    <w:abstractNumId w:val="28"/>
  </w:num>
  <w:num w:numId="29">
    <w:abstractNumId w:val="27"/>
  </w:num>
  <w:num w:numId="30">
    <w:abstractNumId w:val="41"/>
  </w:num>
  <w:num w:numId="31">
    <w:abstractNumId w:val="24"/>
  </w:num>
  <w:num w:numId="32">
    <w:abstractNumId w:val="47"/>
  </w:num>
  <w:num w:numId="33">
    <w:abstractNumId w:val="37"/>
  </w:num>
  <w:num w:numId="34">
    <w:abstractNumId w:val="22"/>
  </w:num>
  <w:num w:numId="35">
    <w:abstractNumId w:val="3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5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801DA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7B9F"/>
    <w:rsid w:val="002224D8"/>
    <w:rsid w:val="00224412"/>
    <w:rsid w:val="002320BC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47D9"/>
    <w:rsid w:val="00302376"/>
    <w:rsid w:val="00302FD3"/>
    <w:rsid w:val="00310BF2"/>
    <w:rsid w:val="0031161F"/>
    <w:rsid w:val="00312A0F"/>
    <w:rsid w:val="0031742A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4CCA"/>
    <w:rsid w:val="0037148E"/>
    <w:rsid w:val="00371DAC"/>
    <w:rsid w:val="00386D0F"/>
    <w:rsid w:val="0039213E"/>
    <w:rsid w:val="00394257"/>
    <w:rsid w:val="0039697C"/>
    <w:rsid w:val="00396A08"/>
    <w:rsid w:val="003A0915"/>
    <w:rsid w:val="003A193F"/>
    <w:rsid w:val="003A319F"/>
    <w:rsid w:val="003B69B1"/>
    <w:rsid w:val="003B75C8"/>
    <w:rsid w:val="003C028B"/>
    <w:rsid w:val="003C3B3B"/>
    <w:rsid w:val="003C41B0"/>
    <w:rsid w:val="003C61E2"/>
    <w:rsid w:val="003D5394"/>
    <w:rsid w:val="003D6598"/>
    <w:rsid w:val="003E0C39"/>
    <w:rsid w:val="003F0209"/>
    <w:rsid w:val="003F0E34"/>
    <w:rsid w:val="003F370D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23B9"/>
    <w:rsid w:val="004A3CD8"/>
    <w:rsid w:val="004D2CB8"/>
    <w:rsid w:val="004D64D2"/>
    <w:rsid w:val="004E18D5"/>
    <w:rsid w:val="004F6FB6"/>
    <w:rsid w:val="005031EE"/>
    <w:rsid w:val="005131FF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017C"/>
    <w:rsid w:val="005B7D65"/>
    <w:rsid w:val="005C1105"/>
    <w:rsid w:val="005C143C"/>
    <w:rsid w:val="005C6DAC"/>
    <w:rsid w:val="005C7C54"/>
    <w:rsid w:val="005D1A4D"/>
    <w:rsid w:val="005D62C8"/>
    <w:rsid w:val="005E3192"/>
    <w:rsid w:val="005E7C58"/>
    <w:rsid w:val="005F027B"/>
    <w:rsid w:val="0060297A"/>
    <w:rsid w:val="00610ED2"/>
    <w:rsid w:val="00614C64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A2113"/>
    <w:rsid w:val="006A6154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F1543"/>
    <w:rsid w:val="007F1DA5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5DC"/>
    <w:rsid w:val="00916843"/>
    <w:rsid w:val="00916B02"/>
    <w:rsid w:val="00917FCD"/>
    <w:rsid w:val="00920AFE"/>
    <w:rsid w:val="00922448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4B8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566F"/>
    <w:rsid w:val="00AE5993"/>
    <w:rsid w:val="00AE61CD"/>
    <w:rsid w:val="00AE731F"/>
    <w:rsid w:val="00AF153A"/>
    <w:rsid w:val="00AF466A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A66E1"/>
    <w:rsid w:val="00BB7F82"/>
    <w:rsid w:val="00BC1BA3"/>
    <w:rsid w:val="00BC266D"/>
    <w:rsid w:val="00BC424F"/>
    <w:rsid w:val="00BC6724"/>
    <w:rsid w:val="00BD4A26"/>
    <w:rsid w:val="00BE237E"/>
    <w:rsid w:val="00BE4667"/>
    <w:rsid w:val="00BF0CAA"/>
    <w:rsid w:val="00BF1F4F"/>
    <w:rsid w:val="00BF3463"/>
    <w:rsid w:val="00BF73B0"/>
    <w:rsid w:val="00C05E4E"/>
    <w:rsid w:val="00C07053"/>
    <w:rsid w:val="00C070FF"/>
    <w:rsid w:val="00C15720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73DD4"/>
    <w:rsid w:val="00C752BB"/>
    <w:rsid w:val="00C85524"/>
    <w:rsid w:val="00C8584F"/>
    <w:rsid w:val="00C91BBB"/>
    <w:rsid w:val="00CA0EE2"/>
    <w:rsid w:val="00CA1C57"/>
    <w:rsid w:val="00CB0A2C"/>
    <w:rsid w:val="00CB2FF5"/>
    <w:rsid w:val="00CB3C7F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E53"/>
    <w:rsid w:val="00D11F72"/>
    <w:rsid w:val="00D12F01"/>
    <w:rsid w:val="00D17E32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E06440"/>
    <w:rsid w:val="00E108CD"/>
    <w:rsid w:val="00E1316F"/>
    <w:rsid w:val="00E15024"/>
    <w:rsid w:val="00E22A51"/>
    <w:rsid w:val="00E23847"/>
    <w:rsid w:val="00E25A11"/>
    <w:rsid w:val="00E32ECA"/>
    <w:rsid w:val="00E353EF"/>
    <w:rsid w:val="00E35FE9"/>
    <w:rsid w:val="00E363B1"/>
    <w:rsid w:val="00E43819"/>
    <w:rsid w:val="00E43B4D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914C8"/>
    <w:rsid w:val="00E93C28"/>
    <w:rsid w:val="00E94A8B"/>
    <w:rsid w:val="00E95145"/>
    <w:rsid w:val="00E9693A"/>
    <w:rsid w:val="00EA3AE9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1E11"/>
    <w:rsid w:val="00F9386C"/>
    <w:rsid w:val="00F96084"/>
    <w:rsid w:val="00F974F5"/>
    <w:rsid w:val="00F97749"/>
    <w:rsid w:val="00FA06AE"/>
    <w:rsid w:val="00FA0774"/>
    <w:rsid w:val="00FA4D2C"/>
    <w:rsid w:val="00FA5368"/>
    <w:rsid w:val="00FB0E5F"/>
    <w:rsid w:val="00FB75A1"/>
    <w:rsid w:val="00FC147B"/>
    <w:rsid w:val="00FC65CA"/>
    <w:rsid w:val="00FD352E"/>
    <w:rsid w:val="00FD60AE"/>
    <w:rsid w:val="00FD7AC8"/>
    <w:rsid w:val="00FE068E"/>
    <w:rsid w:val="00FE694B"/>
    <w:rsid w:val="00FE695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4148-0818-490B-ADB4-4C369D1A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7875</Words>
  <Characters>47256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55021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User</cp:lastModifiedBy>
  <cp:revision>4</cp:revision>
  <cp:lastPrinted>2016-09-08T14:39:00Z</cp:lastPrinted>
  <dcterms:created xsi:type="dcterms:W3CDTF">2016-12-22T14:33:00Z</dcterms:created>
  <dcterms:modified xsi:type="dcterms:W3CDTF">2016-12-31T13:35:00Z</dcterms:modified>
</cp:coreProperties>
</file>